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jc w:val="left"/>
        <w:tblInd w:type="dxa" w:w="0"/>
        <w:tblLayout w:type="fixed"/>
      </w:tblPr>
      <w:tblGrid>
        <w:gridCol w:w="624"/>
        <w:gridCol w:w="2127"/>
        <w:gridCol w:w="283"/>
        <w:gridCol w:w="1219"/>
        <w:gridCol w:w="1134"/>
        <w:gridCol w:w="4252"/>
      </w:tblGrid>
      <w:tr>
        <w:trPr>
          <w:trHeight w:hRule="exact" w:val="1020"/>
        </w:trPr>
        <w:tc>
          <w:tcPr>
            <w:tcW w:type="dxa" w:w="4253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06000000">
            <w:pPr>
              <w:pStyle w:val="Style_3"/>
              <w:widowControl w:val="0"/>
              <w:ind/>
              <w:jc w:val="left"/>
            </w:pPr>
            <w:bookmarkStart w:id="4" w:name="STAMPCORNER"/>
            <w:bookmarkEnd w:id="4"/>
            <w:sdt>
              <w:sdtPr>
                <w:lock w:val="sdtContentLocked"/>
              </w:sdtPr>
              <w:sdtContent>
                <w:r>
                  <w:drawing>
                    <wp:inline>
                      <wp:extent cx="2388870" cy="2680185"/>
                      <wp:effectExtent b="0" l="0" r="0" t="0"/>
                      <wp:docPr hidden="false" id="1" name="Picture 1"/>
                      <a:graphic>
                        <a:graphicData uri="http://schemas.openxmlformats.org/drawingml/2006/picture">
                          <pic:pic>
                            <pic:nvPicPr>
                              <pic:cNvPr hidden="false" id="2" name="Picture 2"/>
                              <pic:cNvPicPr preferRelativeResize="true"/>
                            </pic:nvPicPr>
                            <pic:blipFill>
                              <a:blip r:embed="rId3"/>
                              <a:stretch/>
                            </pic:blipFill>
                            <pic:spPr>
                              <a:xfrm flipH="false" flipV="false" rot="0">
                                <a:ext cx="2388870" cy="2680185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113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sdt>
            <w:sdtPr>
              <w:lock w:val="sdtContentLocked"/>
            </w:sdtPr>
            <w:sdtContent>
              <w:p w14:paraId="07000000">
                <w:pPr>
                  <w:pStyle w:val="Style_3"/>
                  <w:widowControl w:val="0"/>
                  <w:ind/>
                  <w:jc w:val="center"/>
                </w:pPr>
              </w:p>
            </w:sdtContent>
          </w:sdt>
        </w:tc>
        <w:tc>
          <w:tcPr>
            <w:tcW w:type="dxa" w:w="425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sdt>
            <w:sdtPr>
              <w:lock w:val="sdtContentLocked"/>
            </w:sdtPr>
            <w:sdtContent>
              <w:p w14:paraId="08000000">
                <w:pPr>
                  <w:pStyle w:val="Style_3"/>
                  <w:widowControl w:val="0"/>
                  <w:spacing w:before="240"/>
                  <w:ind/>
                </w:pPr>
              </w:p>
            </w:sdtContent>
          </w:sdt>
        </w:tc>
      </w:tr>
      <w:tr>
        <w:trPr>
          <w:trHeight w:hRule="exact" w:val="3160"/>
        </w:trPr>
        <w:tc>
          <w:tcPr>
            <w:tcW w:type="dxa" w:w="4253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  <w:tc>
          <w:tcPr>
            <w:tcW w:type="dxa" w:w="4252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09000000">
            <w:pPr>
              <w:pStyle w:val="Style_3"/>
              <w:widowControl w:val="0"/>
              <w:spacing w:line="240" w:lineRule="exact"/>
              <w:ind/>
            </w:pPr>
            <w:r>
              <w:rPr>
                <w:rFonts w:ascii="Times New Roman" w:hAnsi="Times New Roman"/>
                <w:sz w:val="28"/>
              </w:rPr>
              <w:t>Главам администраций муниципальных образований, находящихся на территории Беляевского района</w:t>
            </w:r>
          </w:p>
        </w:tc>
      </w:tr>
      <w:tr>
        <w:trPr>
          <w:trHeight w:hRule="exact" w:val="417"/>
        </w:trPr>
        <w:tc>
          <w:tcPr>
            <w:tcW w:type="dxa" w:w="4253"/>
            <w:gridSpan w:val="4"/>
            <w:tcBorders>
              <w:top w:sz="4" w:val="nil"/>
              <w:left w:sz="4" w:val="nil"/>
              <w:bottom w:color="000000"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sdt>
            <w:sdtPr>
              <w:lock w:val="sdtContentLocked"/>
            </w:sdtPr>
            <w:sdtContent>
              <w:p w14:paraId="0A000000">
                <w:pPr>
                  <w:pStyle w:val="Style_3"/>
                </w:pPr>
                <w:bookmarkStart w:id="5" w:name="REGNUMDATESTAMP"/>
                <w:r>
                  <w:rPr>
                    <w:rStyle w:val="Style_2_ch"/>
                    <w:color w:val="BFBFBF"/>
                    <w:sz w:val="20"/>
                  </w:rPr>
                  <w:t>данные о регистрации (автоматически)</w:t>
                </w:r>
                <w:bookmarkEnd w:id="5"/>
              </w:p>
            </w:sdtContent>
          </w:sdt>
        </w:tc>
        <w:tc>
          <w:tcPr>
            <w:tcW w:type="dxa" w:w="1134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  <w:tc>
          <w:tcPr>
            <w:tcW w:type="dxa" w:w="4252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</w:tr>
      <w:tr>
        <w:trPr>
          <w:trHeight w:hRule="exact" w:val="680"/>
        </w:trPr>
        <w:tc>
          <w:tcPr>
            <w:tcW w:type="dxa" w:w="4253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/>
        </w:tc>
        <w:tc>
          <w:tcPr>
            <w:tcW w:type="dxa" w:w="1134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  <w:tc>
          <w:tcPr>
            <w:tcW w:type="dxa" w:w="4252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/>
        </w:tc>
      </w:tr>
    </w:tbl>
    <w:p w14:paraId="0B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Вас</w:t>
      </w:r>
      <w:r>
        <w:rPr>
          <w:rFonts w:ascii="Times New Roman" w:hAnsi="Times New Roman"/>
          <w:sz w:val="28"/>
        </w:rPr>
        <w:t xml:space="preserve"> разместить на официальном сайте муниципального образования </w:t>
      </w:r>
      <w:r>
        <w:rPr>
          <w:rFonts w:ascii="Times New Roman" w:hAnsi="Times New Roman"/>
          <w:sz w:val="28"/>
        </w:rPr>
        <w:t>приложенную к настоящему письму информацию разъяснительного характера</w:t>
      </w:r>
      <w:r>
        <w:rPr>
          <w:rFonts w:ascii="Times New Roman" w:hAnsi="Times New Roman"/>
          <w:sz w:val="28"/>
        </w:rPr>
        <w:t>. Кроме того,</w:t>
      </w:r>
      <w:r>
        <w:rPr>
          <w:rFonts w:ascii="Times New Roman" w:hAnsi="Times New Roman"/>
          <w:b w:val="0"/>
          <w:caps w:val="0"/>
          <w:sz w:val="28"/>
          <w:u w:val="none"/>
        </w:rPr>
        <w:t xml:space="preserve"> </w:t>
      </w:r>
      <w:r>
        <w:rPr>
          <w:rFonts w:ascii="Times New Roman" w:hAnsi="Times New Roman"/>
          <w:b w:val="0"/>
          <w:caps w:val="0"/>
          <w:sz w:val="28"/>
          <w:u w:val="none"/>
        </w:rPr>
        <w:t>в ближайшее время</w:t>
      </w:r>
      <w:r>
        <w:rPr>
          <w:rFonts w:ascii="Times New Roman" w:hAnsi="Times New Roman"/>
          <w:sz w:val="28"/>
        </w:rPr>
        <w:t xml:space="preserve"> прошу разместить указанный материал в газете сельсовета.</w:t>
      </w:r>
    </w:p>
    <w:p w14:paraId="0C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проделанной работе </w:t>
      </w:r>
      <w:r>
        <w:rPr>
          <w:rFonts w:ascii="Times New Roman" w:hAnsi="Times New Roman"/>
          <w:sz w:val="28"/>
        </w:rPr>
        <w:t>прошу</w:t>
      </w:r>
      <w:r>
        <w:rPr>
          <w:rFonts w:ascii="Times New Roman" w:hAnsi="Times New Roman"/>
          <w:sz w:val="28"/>
        </w:rPr>
        <w:t xml:space="preserve"> сообщить в прокуратуру района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приложением снимка страницы официального сайта в сети Интернет</w:t>
      </w:r>
      <w:r>
        <w:rPr>
          <w:rFonts w:ascii="Times New Roman" w:hAnsi="Times New Roman"/>
          <w:sz w:val="28"/>
        </w:rPr>
        <w:t>, а также страницы газеты.</w:t>
      </w:r>
      <w:r>
        <w:rPr>
          <w:rFonts w:ascii="Times New Roman" w:hAnsi="Times New Roman"/>
          <w:sz w:val="28"/>
        </w:rPr>
        <w:t xml:space="preserve"> </w:t>
      </w:r>
    </w:p>
    <w:p w14:paraId="0D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0E000000">
      <w:pPr>
        <w:pStyle w:val="Style_3"/>
        <w:widowControl w:val="0"/>
        <w:ind w:firstLine="709" w:left="0"/>
        <w:jc w:val="both"/>
      </w:pPr>
      <w:r>
        <w:rPr>
          <w:rFonts w:ascii="Times New Roman" w:hAnsi="Times New Roman"/>
          <w:sz w:val="28"/>
        </w:rPr>
        <w:t xml:space="preserve">Приложение: статья на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л.</w:t>
      </w:r>
    </w:p>
    <w:p w14:paraId="0F000000">
      <w:pPr>
        <w:pStyle w:val="Style_3"/>
        <w:widowControl w:val="0"/>
        <w:ind w:firstLine="709" w:left="0"/>
        <w:jc w:val="both"/>
      </w:pPr>
    </w:p>
    <w:p w14:paraId="10000000">
      <w:pPr>
        <w:pStyle w:val="Style_3"/>
        <w:widowControl w:val="0"/>
        <w:spacing w:line="240" w:lineRule="exact"/>
        <w:ind/>
      </w:pPr>
    </w:p>
    <w:p w14:paraId="11000000">
      <w:pPr>
        <w:pStyle w:val="Style_3"/>
        <w:widowControl w:val="0"/>
        <w:spacing w:line="240" w:lineRule="exact"/>
        <w:ind/>
      </w:pPr>
    </w:p>
    <w:tbl>
      <w:tblPr>
        <w:tblW w:type="auto" w:w="0"/>
        <w:jc w:val="left"/>
        <w:tblInd w:type="dxa" w:w="0"/>
        <w:tblLayout w:type="fixed"/>
      </w:tblPr>
      <w:tblGrid>
        <w:gridCol w:w="4395"/>
        <w:gridCol w:w="5495"/>
      </w:tblGrid>
      <w:tr>
        <w:tc>
          <w:tcPr>
            <w:tcW w:type="dxa" w:w="43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2000000">
            <w:pPr>
              <w:pStyle w:val="Style_3"/>
              <w:widowControl w:val="0"/>
              <w:spacing w:line="240" w:lineRule="exact"/>
              <w:ind/>
            </w:pPr>
            <w:r>
              <w:t>Прокурор района</w:t>
            </w:r>
          </w:p>
        </w:tc>
        <w:tc>
          <w:tcPr>
            <w:tcW w:type="dxa" w:w="54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sdt>
            <w:sdtPr>
              <w:lock w:val="sdtContentLocked"/>
            </w:sdtPr>
            <w:sdtContent>
              <w:p w14:paraId="13000000">
                <w:pPr>
                  <w:pStyle w:val="Style_3"/>
                  <w:widowControl w:val="0"/>
                  <w:spacing w:line="240" w:lineRule="exact"/>
                  <w:ind/>
                  <w:jc w:val="right"/>
                </w:pPr>
              </w:p>
            </w:sdtContent>
          </w:sdt>
        </w:tc>
      </w:tr>
      <w:tr>
        <w:tc>
          <w:tcPr>
            <w:tcW w:type="dxa" w:w="43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4000000">
            <w:pPr>
              <w:pStyle w:val="Style_3"/>
              <w:widowControl w:val="0"/>
              <w:spacing w:line="240" w:lineRule="exact"/>
              <w:ind/>
            </w:pPr>
          </w:p>
        </w:tc>
        <w:tc>
          <w:tcPr>
            <w:tcW w:type="dxa" w:w="54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sdt>
            <w:sdtPr>
              <w:lock w:val="sdtContentLocked"/>
            </w:sdtPr>
            <w:sdtContent>
              <w:p w14:paraId="15000000">
                <w:pPr>
                  <w:pStyle w:val="Style_3"/>
                  <w:widowControl w:val="0"/>
                  <w:spacing w:line="240" w:lineRule="exact"/>
                  <w:ind/>
                  <w:jc w:val="right"/>
                </w:pPr>
              </w:p>
            </w:sdtContent>
          </w:sdt>
        </w:tc>
      </w:tr>
      <w:tr>
        <w:tc>
          <w:tcPr>
            <w:tcW w:type="dxa" w:w="43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16000000">
            <w:pPr>
              <w:pStyle w:val="Style_3"/>
              <w:widowControl w:val="0"/>
              <w:spacing w:line="240" w:lineRule="exact"/>
              <w:ind/>
            </w:pPr>
            <w:r>
              <w:t>старший советник юстиции</w:t>
            </w:r>
          </w:p>
        </w:tc>
        <w:tc>
          <w:tcPr>
            <w:tcW w:type="dxa" w:w="549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sdt>
            <w:sdtPr>
              <w:lock w:val="sdtContentLocked"/>
            </w:sdtPr>
            <w:sdtContent>
              <w:p w14:paraId="17000000">
                <w:pPr>
                  <w:pStyle w:val="Style_3"/>
                  <w:widowControl w:val="0"/>
                  <w:spacing w:line="240" w:lineRule="exact"/>
                  <w:ind w:right="-110"/>
                  <w:jc w:val="right"/>
                </w:pPr>
                <w:bookmarkStart w:id="6" w:name="SIGNERNAME1"/>
                <w:r>
                  <w:rPr>
                    <w:rStyle w:val="Style_2_ch"/>
                  </w:rPr>
                  <w:t>ИОФ подписанта</w:t>
                </w:r>
                <w:bookmarkEnd w:id="6"/>
              </w:p>
            </w:sdtContent>
          </w:sdt>
        </w:tc>
      </w:tr>
      <w:tr>
        <w:trPr>
          <w:trHeight w:hRule="atLeast" w:val="1701"/>
        </w:trPr>
        <w:tc>
          <w:tcPr>
            <w:tcW w:type="dxa" w:w="9890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pStyle w:val="Style_3"/>
              <w:widowControl w:val="0"/>
              <w:spacing w:before="240"/>
              <w:ind w:firstLine="0" w:left="142" w:right="147"/>
              <w:jc w:val="center"/>
            </w:pPr>
            <w:bookmarkStart w:id="7" w:name="SIGNERSTAMP1"/>
            <w:r>
              <w:rPr>
                <w:rStyle w:val="Style_2_ch"/>
                <w:color w:val="D9D9D9"/>
              </w:rPr>
              <w:t>штамп подписи</w:t>
            </w:r>
            <w:bookmarkEnd w:id="7"/>
          </w:p>
        </w:tc>
      </w:tr>
    </w:tbl>
    <w:p w14:paraId="19000000">
      <w:pPr>
        <w:pStyle w:val="Style_3"/>
        <w:widowControl w:val="0"/>
        <w:spacing w:before="240"/>
        <w:ind/>
        <w:rPr>
          <w:color w:val="D9D9D9"/>
        </w:rPr>
      </w:pPr>
    </w:p>
    <w:p w14:paraId="1A000000">
      <w:pPr>
        <w:pStyle w:val="Style_3"/>
        <w:widowControl w:val="0"/>
        <w:spacing w:before="240"/>
        <w:ind/>
        <w:rPr>
          <w:color w:val="D9D9D9"/>
          <w:sz w:val="20"/>
        </w:rPr>
      </w:pPr>
    </w:p>
    <w:p w14:paraId="1B000000">
      <w:pPr>
        <w:pStyle w:val="Style_3"/>
        <w:widowControl w:val="0"/>
        <w:spacing w:before="240"/>
        <w:ind/>
        <w:rPr>
          <w:color w:val="D9D9D9"/>
          <w:sz w:val="20"/>
        </w:rPr>
      </w:pPr>
    </w:p>
    <w:p w14:paraId="1C000000">
      <w:pPr>
        <w:pStyle w:val="Style_3"/>
        <w:widowControl w:val="0"/>
        <w:spacing w:before="240"/>
        <w:ind/>
        <w:rPr>
          <w:color w:val="D9D9D9"/>
          <w:sz w:val="20"/>
        </w:rPr>
      </w:pPr>
    </w:p>
    <w:p w14:paraId="1D000000">
      <w:pPr>
        <w:pStyle w:val="Style_3"/>
        <w:widowControl w:val="0"/>
        <w:spacing w:before="240"/>
        <w:ind/>
        <w:rPr>
          <w:color w:val="D9D9D9"/>
          <w:sz w:val="20"/>
        </w:rPr>
      </w:pPr>
    </w:p>
    <w:p w14:paraId="1E000000">
      <w:pPr>
        <w:pStyle w:val="Style_3"/>
        <w:widowControl w:val="0"/>
        <w:spacing w:before="240"/>
        <w:ind/>
        <w:rPr>
          <w:color w:val="D9D9D9"/>
          <w:sz w:val="20"/>
        </w:rPr>
      </w:pPr>
    </w:p>
    <w:p w14:paraId="1F000000">
      <w:pPr>
        <w:pStyle w:val="Style_3"/>
        <w:widowControl w:val="0"/>
        <w:spacing w:before="240"/>
        <w:ind/>
        <w:rPr>
          <w:color w:val="D9D9D9"/>
          <w:sz w:val="20"/>
        </w:rPr>
      </w:pPr>
      <w:r>
        <w:rPr>
          <w:rStyle w:val="Style_2_ch"/>
          <w:sz w:val="20"/>
        </w:rPr>
        <w:t>А.А. Гладышева, тел. 8(35334) 2-17-08</w:t>
      </w:r>
    </w:p>
    <w:p w14:paraId="20000000">
      <w:pPr>
        <w:spacing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</w:t>
      </w:r>
      <w:r>
        <w:rPr>
          <w:rFonts w:ascii="Times New Roman" w:hAnsi="Times New Roman"/>
          <w:b w:val="1"/>
          <w:sz w:val="28"/>
        </w:rPr>
        <w:t>ействия при уловках мошенников с использованием информационно-телекоммуникац</w:t>
      </w:r>
      <w:r>
        <w:rPr>
          <w:rFonts w:ascii="Times New Roman" w:hAnsi="Times New Roman"/>
          <w:b w:val="1"/>
          <w:sz w:val="28"/>
        </w:rPr>
        <w:t>ионных технологий</w:t>
      </w:r>
    </w:p>
    <w:p w14:paraId="2100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последние годы мошенники все чаще и чаще используют дистанционный способ совершения преступлений. </w:t>
      </w:r>
    </w:p>
    <w:p w14:paraId="2200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случае, если мошеннические действия совершены в отношении Вас, Вам необходимо незамедлительно </w:t>
      </w:r>
      <w:r>
        <w:rPr>
          <w:rFonts w:ascii="Times New Roman" w:hAnsi="Times New Roman"/>
          <w:b w:val="0"/>
          <w:sz w:val="28"/>
        </w:rPr>
        <w:t xml:space="preserve">сообщить в банк о случившемся, заблокировать карту и операции по счетам, а </w:t>
      </w:r>
      <w:r>
        <w:rPr>
          <w:rFonts w:ascii="Times New Roman" w:hAnsi="Times New Roman"/>
          <w:b w:val="0"/>
          <w:sz w:val="28"/>
        </w:rPr>
        <w:t xml:space="preserve">также обратиться в полицию с заявлением. Важно также сменить пароль от </w:t>
      </w:r>
      <w:r>
        <w:rPr>
          <w:rFonts w:ascii="Times New Roman" w:hAnsi="Times New Roman"/>
          <w:b w:val="0"/>
          <w:sz w:val="28"/>
        </w:rPr>
        <w:t xml:space="preserve">личного кабинета </w:t>
      </w:r>
      <w:r>
        <w:rPr>
          <w:rFonts w:ascii="Times New Roman" w:hAnsi="Times New Roman"/>
          <w:b w:val="0"/>
          <w:sz w:val="28"/>
        </w:rPr>
        <w:t>онлайн-банка</w:t>
      </w:r>
      <w:r>
        <w:rPr>
          <w:rFonts w:ascii="Times New Roman" w:hAnsi="Times New Roman"/>
          <w:b w:val="0"/>
          <w:sz w:val="28"/>
        </w:rPr>
        <w:t xml:space="preserve"> и предоставить банку и сотрудникам правоохранительных органов всю имеющуюся </w:t>
      </w:r>
      <w:r>
        <w:rPr>
          <w:rFonts w:ascii="Times New Roman" w:hAnsi="Times New Roman"/>
          <w:b w:val="0"/>
          <w:sz w:val="28"/>
        </w:rPr>
        <w:t xml:space="preserve">информацию об инциденте. </w:t>
      </w:r>
    </w:p>
    <w:p w14:paraId="2300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1D1D20"/>
          <w:spacing w:val="-5"/>
          <w:sz w:val="28"/>
        </w:rPr>
        <w:t>Незамедлительно осуществите следующие действия:</w:t>
      </w:r>
    </w:p>
    <w:p w14:paraId="24000000">
      <w:pPr>
        <w:widowControl w:val="1"/>
        <w:numPr>
          <w:ilvl w:val="0"/>
          <w:numId w:val="1"/>
        </w:numPr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color w:val="1D1D20"/>
          <w:spacing w:val="-4"/>
          <w:sz w:val="28"/>
        </w:rPr>
      </w:pPr>
      <w:r>
        <w:rPr>
          <w:rFonts w:ascii="Times New Roman" w:hAnsi="Times New Roman"/>
          <w:color w:val="1D1D20"/>
          <w:spacing w:val="-4"/>
          <w:sz w:val="28"/>
        </w:rPr>
        <w:t>Свяжитесь с банком: н</w:t>
      </w:r>
      <w:r>
        <w:rPr>
          <w:rFonts w:ascii="Times New Roman" w:hAnsi="Times New Roman"/>
          <w:color w:val="1D1D20"/>
          <w:spacing w:val="-4"/>
          <w:sz w:val="28"/>
        </w:rPr>
        <w:t>емедленно позвоните в службу поддержки по официальному номеру (</w:t>
      </w:r>
      <w:r>
        <w:rPr>
          <w:rFonts w:ascii="Times New Roman" w:hAnsi="Times New Roman"/>
          <w:color w:val="1D1D20"/>
          <w:spacing w:val="-4"/>
          <w:sz w:val="28"/>
        </w:rPr>
        <w:t>указан</w:t>
      </w:r>
      <w:r>
        <w:rPr>
          <w:rFonts w:ascii="Times New Roman" w:hAnsi="Times New Roman"/>
          <w:color w:val="1D1D20"/>
          <w:spacing w:val="-4"/>
          <w:sz w:val="28"/>
        </w:rPr>
        <w:t xml:space="preserve"> на обороте вашей карты), воспользуйтесь мобильным приложением или личным кабинетом на сайте банка.</w:t>
      </w:r>
    </w:p>
    <w:p w14:paraId="25000000">
      <w:pPr>
        <w:widowControl w:val="1"/>
        <w:numPr>
          <w:ilvl w:val="0"/>
          <w:numId w:val="1"/>
        </w:numPr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color w:val="1D1D20"/>
          <w:spacing w:val="-4"/>
          <w:sz w:val="28"/>
        </w:rPr>
      </w:pPr>
      <w:r>
        <w:rPr>
          <w:rFonts w:ascii="Times New Roman" w:hAnsi="Times New Roman"/>
          <w:color w:val="1D1D20"/>
          <w:spacing w:val="-4"/>
          <w:sz w:val="28"/>
        </w:rPr>
        <w:t>Заблокируйте карту</w:t>
      </w:r>
      <w:r>
        <w:rPr>
          <w:rFonts w:ascii="Times New Roman" w:hAnsi="Times New Roman"/>
          <w:color w:val="1D1D20"/>
          <w:spacing w:val="-4"/>
          <w:sz w:val="28"/>
        </w:rPr>
        <w:t>: э</w:t>
      </w:r>
      <w:r>
        <w:rPr>
          <w:rFonts w:ascii="Times New Roman" w:hAnsi="Times New Roman"/>
          <w:color w:val="1D1D20"/>
          <w:spacing w:val="-4"/>
          <w:sz w:val="28"/>
        </w:rPr>
        <w:t>то поможет предотвратить дальнейшие несанкционированные списания.</w:t>
      </w:r>
    </w:p>
    <w:p w14:paraId="26000000">
      <w:pPr>
        <w:widowControl w:val="1"/>
        <w:numPr>
          <w:ilvl w:val="0"/>
          <w:numId w:val="1"/>
        </w:numPr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color w:val="1D1D20"/>
          <w:spacing w:val="-4"/>
          <w:sz w:val="28"/>
        </w:rPr>
      </w:pPr>
      <w:r>
        <w:rPr>
          <w:rFonts w:ascii="Times New Roman" w:hAnsi="Times New Roman"/>
          <w:color w:val="1D1D20"/>
          <w:spacing w:val="-4"/>
          <w:sz w:val="28"/>
        </w:rPr>
        <w:t>Смените пароль</w:t>
      </w:r>
      <w:r>
        <w:rPr>
          <w:rFonts w:ascii="Times New Roman" w:hAnsi="Times New Roman"/>
          <w:color w:val="1D1D20"/>
          <w:spacing w:val="-4"/>
          <w:sz w:val="28"/>
        </w:rPr>
        <w:t>: о</w:t>
      </w:r>
      <w:r>
        <w:rPr>
          <w:rFonts w:ascii="Times New Roman" w:hAnsi="Times New Roman"/>
          <w:color w:val="1D1D20"/>
          <w:spacing w:val="-4"/>
          <w:sz w:val="28"/>
        </w:rPr>
        <w:t xml:space="preserve">бязательно измените пароль от личного кабинета </w:t>
      </w:r>
      <w:r>
        <w:rPr>
          <w:rFonts w:ascii="Times New Roman" w:hAnsi="Times New Roman"/>
          <w:color w:val="1D1D20"/>
          <w:spacing w:val="-4"/>
          <w:sz w:val="28"/>
        </w:rPr>
        <w:t>онлайн-банка</w:t>
      </w:r>
      <w:r>
        <w:rPr>
          <w:rFonts w:ascii="Times New Roman" w:hAnsi="Times New Roman"/>
          <w:color w:val="1D1D20"/>
          <w:spacing w:val="-4"/>
          <w:sz w:val="28"/>
        </w:rPr>
        <w:t xml:space="preserve"> и других связанных учётных записей, чтобы исключить повторный доступ мошенников.</w:t>
      </w:r>
    </w:p>
    <w:p w14:paraId="27000000">
      <w:pPr>
        <w:widowControl w:val="1"/>
        <w:numPr>
          <w:ilvl w:val="0"/>
          <w:numId w:val="1"/>
        </w:numPr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color w:val="1D1D20"/>
          <w:spacing w:val="-4"/>
          <w:sz w:val="28"/>
        </w:rPr>
      </w:pPr>
      <w:r>
        <w:rPr>
          <w:rFonts w:ascii="Times New Roman" w:hAnsi="Times New Roman"/>
          <w:color w:val="1D1D20"/>
          <w:spacing w:val="-4"/>
          <w:sz w:val="28"/>
        </w:rPr>
        <w:t>Соберите все данные об инциденте</w:t>
      </w:r>
      <w:r>
        <w:rPr>
          <w:rFonts w:ascii="Times New Roman" w:hAnsi="Times New Roman"/>
          <w:color w:val="1D1D20"/>
          <w:spacing w:val="-4"/>
          <w:sz w:val="28"/>
        </w:rPr>
        <w:t>: з</w:t>
      </w:r>
      <w:r>
        <w:rPr>
          <w:rFonts w:ascii="Times New Roman" w:hAnsi="Times New Roman"/>
          <w:color w:val="1D1D20"/>
          <w:spacing w:val="-4"/>
          <w:sz w:val="28"/>
        </w:rPr>
        <w:t xml:space="preserve">афиксируйте дату, время, сумму перевода, реквизиты получателя, а также обстоятельства, при которых произошло мошенничество (например, звонок, сообщение, </w:t>
      </w:r>
      <w:r>
        <w:rPr>
          <w:rFonts w:ascii="Times New Roman" w:hAnsi="Times New Roman"/>
          <w:color w:val="1D1D20"/>
          <w:spacing w:val="-4"/>
          <w:sz w:val="28"/>
        </w:rPr>
        <w:t>фишинговая</w:t>
      </w:r>
      <w:r>
        <w:rPr>
          <w:rFonts w:ascii="Times New Roman" w:hAnsi="Times New Roman"/>
          <w:color w:val="1D1D20"/>
          <w:spacing w:val="-4"/>
          <w:sz w:val="28"/>
        </w:rPr>
        <w:t xml:space="preserve"> ссылка и т.д.).</w:t>
      </w:r>
    </w:p>
    <w:p w14:paraId="28000000">
      <w:pPr>
        <w:widowControl w:val="1"/>
        <w:numPr>
          <w:ilvl w:val="0"/>
          <w:numId w:val="1"/>
        </w:numPr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color w:val="1D1D20"/>
          <w:spacing w:val="-4"/>
          <w:sz w:val="28"/>
        </w:rPr>
      </w:pPr>
      <w:r>
        <w:rPr>
          <w:rFonts w:ascii="Times New Roman" w:hAnsi="Times New Roman"/>
          <w:color w:val="1D1D20"/>
          <w:spacing w:val="-4"/>
          <w:sz w:val="28"/>
        </w:rPr>
        <w:t>Подайте заявление в полицию</w:t>
      </w:r>
      <w:r>
        <w:rPr>
          <w:rFonts w:ascii="Times New Roman" w:hAnsi="Times New Roman"/>
          <w:color w:val="1D1D20"/>
          <w:spacing w:val="-4"/>
          <w:sz w:val="28"/>
        </w:rPr>
        <w:t>: о</w:t>
      </w:r>
      <w:r>
        <w:rPr>
          <w:rFonts w:ascii="Times New Roman" w:hAnsi="Times New Roman"/>
          <w:color w:val="1D1D20"/>
          <w:spacing w:val="-4"/>
          <w:sz w:val="28"/>
        </w:rPr>
        <w:t>братитесь с письменным заявлением о хищении денежных сре</w:t>
      </w:r>
      <w:r>
        <w:rPr>
          <w:rFonts w:ascii="Times New Roman" w:hAnsi="Times New Roman"/>
          <w:color w:val="1D1D20"/>
          <w:spacing w:val="-4"/>
          <w:sz w:val="28"/>
        </w:rPr>
        <w:t>дств в л</w:t>
      </w:r>
      <w:r>
        <w:rPr>
          <w:rFonts w:ascii="Times New Roman" w:hAnsi="Times New Roman"/>
          <w:color w:val="1D1D20"/>
          <w:spacing w:val="-4"/>
          <w:sz w:val="28"/>
        </w:rPr>
        <w:t>юбое отделение полиции. Подать заявление можно как лично, так и через официальный сайт МВД. К заявлению приложите все имеющиеся доказательства.</w:t>
      </w:r>
    </w:p>
    <w:p w14:paraId="2900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Важно </w:t>
      </w:r>
      <w:r>
        <w:rPr>
          <w:rFonts w:ascii="Times New Roman" w:hAnsi="Times New Roman"/>
          <w:b w:val="0"/>
          <w:spacing w:val="0"/>
          <w:sz w:val="28"/>
        </w:rPr>
        <w:t>–</w:t>
      </w:r>
      <w:r>
        <w:rPr>
          <w:rFonts w:ascii="Times New Roman" w:hAnsi="Times New Roman"/>
          <w:b w:val="0"/>
          <w:sz w:val="28"/>
        </w:rPr>
        <w:t xml:space="preserve"> не сообщайте личные данные! </w:t>
      </w:r>
      <w:r>
        <w:rPr>
          <w:rFonts w:ascii="Times New Roman" w:hAnsi="Times New Roman"/>
          <w:b w:val="0"/>
          <w:sz w:val="28"/>
        </w:rPr>
        <w:t xml:space="preserve">Никогда не сообщайте третьим лицам свои пароли, </w:t>
      </w:r>
      <w:r>
        <w:rPr>
          <w:rFonts w:ascii="Times New Roman" w:hAnsi="Times New Roman"/>
          <w:b w:val="0"/>
          <w:sz w:val="28"/>
        </w:rPr>
        <w:t>ПИН-коды</w:t>
      </w:r>
      <w:r>
        <w:rPr>
          <w:rFonts w:ascii="Times New Roman" w:hAnsi="Times New Roman"/>
          <w:b w:val="0"/>
          <w:sz w:val="28"/>
        </w:rPr>
        <w:t xml:space="preserve">, коды из </w:t>
      </w:r>
      <w:r>
        <w:rPr>
          <w:rFonts w:ascii="Times New Roman" w:hAnsi="Times New Roman"/>
          <w:b w:val="0"/>
          <w:sz w:val="28"/>
        </w:rPr>
        <w:t xml:space="preserve">СМС и CVC/CVV-код от карты, кем бы они ни представлялись, включая </w:t>
      </w:r>
      <w:r>
        <w:rPr>
          <w:rFonts w:ascii="Times New Roman" w:hAnsi="Times New Roman"/>
          <w:b w:val="0"/>
          <w:sz w:val="28"/>
        </w:rPr>
        <w:t>сотрудников банка.</w:t>
      </w:r>
    </w:p>
    <w:p w14:paraId="2A00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2B00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</w:p>
    <w:p w14:paraId="2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Особенности обеспечения общественного порядка и общественной безопасности при организации и проведении зрелищных мероприятий</w:t>
      </w:r>
    </w:p>
    <w:p w14:paraId="2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2E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color w:val="000000"/>
          <w:spacing w:val="-5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Федеральным законом от 21.04.2025 № 87-ФЗ с 01.09.2025 устанавливаются особенности обеспечения общественного порядка и общественной безопасности при организации и проведении зрелищных мероприятий.</w:t>
      </w:r>
    </w:p>
    <w:p w14:paraId="2F000000">
      <w:pPr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Организатор </w:t>
      </w:r>
      <w:r>
        <w:rPr>
          <w:rFonts w:ascii="Times New Roman" w:hAnsi="Times New Roman"/>
          <w:color w:val="000000"/>
          <w:sz w:val="28"/>
        </w:rPr>
        <w:t xml:space="preserve">мероприятия обязан заблаговременно уведомить соответствующие орган исполнительной власти субъекта Российской Федерации и орган местного самоуправления о тематике мероприятия, объекте и территории его проведения, с указанием собственника (правообладателя) этих объектов и территории, а также о дате и времени проведения, планируемом количестве посетителей и мерах, предусмотренных для обеспечения общественного порядка и общественной безопасности. </w:t>
      </w:r>
    </w:p>
    <w:p w14:paraId="30000000">
      <w:pPr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рганизатор незамедлительно информирует указанные органы обо всех изменениях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в том числе о смене тематики, места, даты или времени проведения, изменении ожидаемого числа участников, а также об отмене, переносе или замене мероприятия.</w:t>
      </w:r>
    </w:p>
    <w:p w14:paraId="31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Кроме того, на организатора зрелищного мероприятия и собственника (правообладателя) объекта или территории, на которых оно проводится, возлагается обязанность по обеспечению охраны, технической оснащенности, </w:t>
      </w:r>
      <w:r>
        <w:rPr>
          <w:rFonts w:ascii="Times New Roman" w:hAnsi="Times New Roman"/>
          <w:color w:val="000000"/>
          <w:sz w:val="28"/>
        </w:rPr>
        <w:t>укрепленности</w:t>
      </w:r>
      <w:r>
        <w:rPr>
          <w:rFonts w:ascii="Times New Roman" w:hAnsi="Times New Roman"/>
          <w:color w:val="000000"/>
          <w:sz w:val="28"/>
        </w:rPr>
        <w:t xml:space="preserve"> и антитеррористической защищенности таких объекта и территории. Дополнительно определены права и обязанности контролеров-распорядителей при проведении зрелищного мероприятия на спортивном сооружении.</w:t>
      </w:r>
    </w:p>
    <w:p w14:paraId="3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Предусмотрено, что организатор зрелищного мероприятия, проводимого на спортивном сооружении, должен обеспечить деятельность контролеров-распорядителей, включая предоставление им форменной одежды, питания, компенсационных выплат, связанных с оплатой стоимости питания, проезда, проживания.</w:t>
      </w:r>
    </w:p>
    <w:p w14:paraId="3300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14:paraId="3400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14:paraId="3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 порядке замены паспорта при его утрате</w:t>
      </w:r>
    </w:p>
    <w:p w14:paraId="36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</w:p>
    <w:p w14:paraId="37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Основным документом, удостоверяющим гражданство Российской Федерации и личность гражданина Российской Федерации на территории Российской Федерации, является паспорт гражданина Российской Федерации.</w:t>
      </w:r>
    </w:p>
    <w:p w14:paraId="38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Согласно постановлению Правительства Российской Федерации от 23.12.2023 № 2267 «Об утверждении Положения о паспорте гражданина Российской Федерации, образца и описания бланка паспорта гражданина Российской Федерации» в случае утраты или хищения паспорта на территории Российской Федерации гражданин Российской Федерации обязан незамедлительно лично либо посредством единого портала обратиться в территориальный орган Министерства внутренних дел Российской Федерации с письменным заявлением об утрате или 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хищени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паспорта.</w:t>
      </w:r>
    </w:p>
    <w:p w14:paraId="39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этом заявителю необходимо представить две личные фотографии, документ воинского учета (для мужчин старше 18 лет), свидетельство о заключении брака или</w:t>
      </w:r>
      <w:r>
        <w:rPr>
          <w:rFonts w:ascii="Times New Roman" w:hAnsi="Times New Roman"/>
          <w:color w:val="000000"/>
          <w:sz w:val="28"/>
        </w:rPr>
        <w:t xml:space="preserve"> о рождении детей (по желанию).</w:t>
      </w:r>
    </w:p>
    <w:p w14:paraId="3A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Несвоевременное обращение за получением нового паспорта влечет административную ответственность по ст. 19.15 Кодекса Российской Федерации об административных правонарушениях </w:t>
      </w:r>
      <w:r>
        <w:rPr>
          <w:rFonts w:ascii="Times New Roman" w:hAnsi="Times New Roman"/>
          <w:color w:val="000000"/>
          <w:sz w:val="28"/>
        </w:rPr>
        <w:t>– штраф от 2000 до 3000 рублей.</w:t>
      </w:r>
    </w:p>
    <w:p w14:paraId="3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Срок оформления паспорта не должен превышать 5 рабочих дней со дня приема Министерством внутренних дел Российской Федерации или его территориальным о</w:t>
      </w:r>
      <w:r>
        <w:rPr>
          <w:rFonts w:ascii="Times New Roman" w:hAnsi="Times New Roman"/>
          <w:color w:val="000000"/>
          <w:sz w:val="28"/>
        </w:rPr>
        <w:t>рганом документов от заявителя.</w:t>
      </w:r>
    </w:p>
    <w:p w14:paraId="3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Своевременная замена паспорта защитит ваши права и предотвратит незаконное использование персональных данных.</w:t>
      </w:r>
    </w:p>
    <w:p w14:paraId="3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3E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3F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40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Подростковая преступность</w:t>
      </w:r>
    </w:p>
    <w:p w14:paraId="41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4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Одной из наиболее острых проблем современного общества явля</w:t>
      </w:r>
      <w:r>
        <w:rPr>
          <w:rFonts w:ascii="Times New Roman" w:hAnsi="Times New Roman"/>
          <w:color w:val="000000"/>
          <w:sz w:val="28"/>
        </w:rPr>
        <w:t>ется подростковая преступность.</w:t>
      </w:r>
    </w:p>
    <w:p w14:paraId="4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сожалению, не каждый подросток осознает, какие совершаемые им противоправные деяния ведут к тяжелым последствиям. Часто несовершеннолетние совершают общественно опасные деяния, не задумываясь о последствиях, рассчитывая избежать предусмотренную законом ответственность в связи с </w:t>
      </w:r>
      <w:r>
        <w:rPr>
          <w:rFonts w:ascii="Times New Roman" w:hAnsi="Times New Roman"/>
          <w:color w:val="000000"/>
          <w:sz w:val="28"/>
        </w:rPr>
        <w:t>недостижением</w:t>
      </w:r>
      <w:r>
        <w:rPr>
          <w:rFonts w:ascii="Times New Roman" w:hAnsi="Times New Roman"/>
          <w:color w:val="000000"/>
          <w:sz w:val="28"/>
        </w:rPr>
        <w:t xml:space="preserve"> возраста.</w:t>
      </w:r>
    </w:p>
    <w:p w14:paraId="4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 законодательством Российской Федерации несовершеннолетние при определенных условиях несут административную, уголовную и иную ответственность. Кроме того, 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помещены в специальное учебно-воспитател</w:t>
      </w:r>
      <w:r>
        <w:rPr>
          <w:rFonts w:ascii="Times New Roman" w:hAnsi="Times New Roman"/>
          <w:color w:val="000000"/>
          <w:sz w:val="28"/>
        </w:rPr>
        <w:t>ьное учреждение закрытого типа.</w:t>
      </w:r>
    </w:p>
    <w:p w14:paraId="4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Несовершеннолетние старших возрастных групп за свои преступления несут именно </w:t>
      </w:r>
      <w:r>
        <w:rPr>
          <w:rFonts w:ascii="Times New Roman" w:hAnsi="Times New Roman"/>
          <w:color w:val="000000"/>
          <w:sz w:val="28"/>
        </w:rPr>
        <w:t>уголовную ответственность.</w:t>
      </w:r>
    </w:p>
    <w:p w14:paraId="46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Уголовная ответственность за преступления, совершённые несовершеннолетними, может наступать с применением практически всех видов уголовного наказания, предусмотренных законодательством. Вместе с тем особое внимание уделяется профилактике правонарушений и преступлений среди подростков. С этой целью органы системы профилактики осуществляют комплекс мер, направленных на снижение влияния негативных социальных факторов, способствующих правонарушениям несовершеннолетних.</w:t>
      </w:r>
    </w:p>
    <w:p w14:paraId="47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их задачи входит проведение профилактической работы с подростками, склонными к антиобщественному поведению; выявление и пресечение деятельности групп негативной направленности, в которых участвуют несовершеннолетние; недопущение вовлечения детей и подростков в преступную деятельность, а также сопровождение семей, находящихся в социально опасном положении.</w:t>
      </w:r>
    </w:p>
    <w:p w14:paraId="48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Согласно Конституции Российской Федерации, родители имеют равные права и обязанности по воспитанию и защите интересов своих детей. В случае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если несовершеннолетний нарушает общественный порядок, причиняет вред другим лицам или чужому имуществу, ответственность за такие действия несут его законные представители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родители или опекуны.</w:t>
      </w:r>
    </w:p>
    <w:p w14:paraId="49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Сам несовершеннолетний, совершивший правонарушение, ставится на профилактический учёт в комиссию по делам несовершеннолетних и подразделение по делам несовершеннолетних органов внутренних дел, где с ним проводится индивидуальная профилактическая работа.</w:t>
      </w:r>
    </w:p>
    <w:p w14:paraId="4A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Важнейшую роль в предупреждении преступности среди подростков играют правовое воспитание, пропаганда здорового образа жизни, укрепление института семьи и повышение ответственности взрослых за нравственное и правовое формирование личности ребёнка.</w:t>
      </w:r>
    </w:p>
    <w:p w14:paraId="4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4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Какие последствия может повлечь неявка в суд в гражданском процессе?</w:t>
      </w:r>
    </w:p>
    <w:p w14:paraId="4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</w:p>
    <w:p w14:paraId="4E000000">
      <w:pPr>
        <w:pStyle w:val="Style_5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pacing w:val="-5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Разбирательство гражданского дела осуществляется в судебном заседании с обязательным извещением всех лиц, участвующих в деле: истцов (а по делам особого производства 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– </w:t>
      </w:r>
      <w:r>
        <w:rPr>
          <w:rFonts w:ascii="Times New Roman" w:hAnsi="Times New Roman"/>
          <w:b w:val="0"/>
          <w:color w:val="000000"/>
          <w:spacing w:val="-5"/>
          <w:sz w:val="28"/>
        </w:rPr>
        <w:t>заявителей), ответчиков, третьих лиц и иных участников процесса.</w:t>
      </w:r>
    </w:p>
    <w:p w14:paraId="4F000000">
      <w:pPr>
        <w:pStyle w:val="Style_5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pacing w:val="-5"/>
          <w:sz w:val="28"/>
        </w:rPr>
      </w:pPr>
      <w:r>
        <w:rPr>
          <w:rFonts w:ascii="Times New Roman" w:hAnsi="Times New Roman"/>
          <w:b w:val="0"/>
          <w:color w:val="000000"/>
          <w:spacing w:val="-5"/>
          <w:sz w:val="28"/>
        </w:rPr>
        <w:t>Как правило, личное присутствие этих лиц в суде не является обязательным. Они могут участвовать в процессе через представителей или представлять письменные объяснения. Однако если участник дела не назначен представителя и не явился в суд, он обязан уведомить суд о причинах своего отсутствия и приложить доказательства их уважительности. Стороны по делу (истец и ответчик), заявитель, а также заинтересованные лица по делам особого производства вправе ходатайствовать о рассмотрении дела в их отсутствие.</w:t>
      </w:r>
    </w:p>
    <w:p w14:paraId="50000000">
      <w:pPr>
        <w:pStyle w:val="Style_5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pacing w:val="-5"/>
          <w:sz w:val="28"/>
        </w:rPr>
      </w:pPr>
      <w:r>
        <w:rPr>
          <w:rFonts w:ascii="Times New Roman" w:hAnsi="Times New Roman"/>
          <w:b w:val="0"/>
          <w:color w:val="000000"/>
          <w:spacing w:val="-5"/>
          <w:sz w:val="28"/>
        </w:rPr>
        <w:t>Вместе с тем закон предусматривает обязательную явку в суд по отдельным категориям дел особого производства. Например, при рассмотрении дел об усыновлении (удочерении) обязаны лично присутствовать усыновители и ребёнок, достигший 14 лет.</w:t>
      </w:r>
    </w:p>
    <w:p w14:paraId="51000000">
      <w:pPr>
        <w:pStyle w:val="Style_5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pacing w:val="-5"/>
          <w:sz w:val="28"/>
        </w:rPr>
      </w:pP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Что касается лиц, содействующих правосудию 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– 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свидетелей, экспертов, специалистов и переводчиков, 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– </w:t>
      </w:r>
      <w:r>
        <w:rPr>
          <w:rFonts w:ascii="Times New Roman" w:hAnsi="Times New Roman"/>
          <w:b w:val="0"/>
          <w:color w:val="000000"/>
          <w:spacing w:val="-5"/>
          <w:sz w:val="28"/>
        </w:rPr>
        <w:t>они обязаны явиться в суд по вызову.</w:t>
      </w:r>
    </w:p>
    <w:p w14:paraId="52000000">
      <w:pPr>
        <w:pStyle w:val="Style_5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pacing w:val="-5"/>
          <w:sz w:val="28"/>
        </w:rPr>
      </w:pPr>
      <w:r>
        <w:rPr>
          <w:rFonts w:ascii="Times New Roman" w:hAnsi="Times New Roman"/>
          <w:b w:val="0"/>
          <w:color w:val="000000"/>
          <w:spacing w:val="-5"/>
          <w:sz w:val="28"/>
        </w:rPr>
        <w:t>Законодательство не содержит исчерпывающего перечня уважительных причин неявки для большинства участников процесса и лиц, содействующих правосудию (за исключением свидетелей). В Гражданском процессуальном кодексе РФ указано, что уважительными для свидетеля могут признаваться, в частности, болезнь, старость или инвалидность. Однако этот перечень не является закрытым: суд вправе признать уважительными и иные обстоятельства. В таких случаях допрос свидетеля может быть проведён по месту его нахождения.</w:t>
      </w:r>
    </w:p>
    <w:p w14:paraId="53000000">
      <w:pPr>
        <w:pStyle w:val="Style_5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pacing w:val="-5"/>
          <w:sz w:val="28"/>
        </w:rPr>
      </w:pP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На практике указанные основания для свидетелей часто служат ориентиром и при оценке причин неявки других участников </w:t>
      </w:r>
      <w:r>
        <w:rPr>
          <w:rFonts w:ascii="Times New Roman" w:hAnsi="Times New Roman"/>
          <w:b w:val="0"/>
          <w:color w:val="000000"/>
          <w:spacing w:val="-5"/>
          <w:sz w:val="28"/>
        </w:rPr>
        <w:t>процесса</w:t>
      </w:r>
      <w:r>
        <w:rPr>
          <w:rFonts w:ascii="Times New Roman" w:hAnsi="Times New Roman"/>
          <w:b w:val="0"/>
          <w:color w:val="000000"/>
          <w:spacing w:val="-5"/>
          <w:sz w:val="28"/>
        </w:rPr>
        <w:t>.С</w:t>
      </w:r>
      <w:r>
        <w:rPr>
          <w:rFonts w:ascii="Times New Roman" w:hAnsi="Times New Roman"/>
          <w:b w:val="0"/>
          <w:color w:val="000000"/>
          <w:spacing w:val="-5"/>
          <w:sz w:val="28"/>
        </w:rPr>
        <w:t>удебная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 практика также содержит примеры, когда причины неявки были признаны неуважительными. К таким, в частности, относятся: 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ухудшение состояния здоровья ребёнка, подтверждённое лишь талоном на приём к врачу без медицинских документов; 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выезд за пределы Российской Федерации, совпавший со временем заседания; </w:t>
      </w:r>
      <w:r>
        <w:rPr>
          <w:rFonts w:ascii="Times New Roman" w:hAnsi="Times New Roman"/>
          <w:b w:val="0"/>
          <w:color w:val="000000"/>
          <w:spacing w:val="-5"/>
          <w:sz w:val="28"/>
        </w:rPr>
        <w:t>нахождение в отпуске.</w:t>
      </w:r>
    </w:p>
    <w:p w14:paraId="54000000">
      <w:pPr>
        <w:pStyle w:val="Style_5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pacing w:val="-5"/>
          <w:sz w:val="28"/>
        </w:rPr>
      </w:pPr>
      <w:r>
        <w:rPr>
          <w:rFonts w:ascii="Times New Roman" w:hAnsi="Times New Roman"/>
          <w:b w:val="0"/>
          <w:color w:val="000000"/>
          <w:spacing w:val="-5"/>
          <w:sz w:val="28"/>
        </w:rPr>
        <w:t>Каждый случай неявки рассматривается судом индивидуально с учётом конкретных обстоятельств и представленных доказательств.</w:t>
      </w:r>
    </w:p>
    <w:p w14:paraId="55000000">
      <w:pPr>
        <w:pStyle w:val="Style_5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pacing w:val="-5"/>
          <w:sz w:val="28"/>
        </w:rPr>
      </w:pPr>
      <w:r>
        <w:rPr>
          <w:rFonts w:ascii="Times New Roman" w:hAnsi="Times New Roman"/>
          <w:b w:val="0"/>
          <w:color w:val="000000"/>
          <w:spacing w:val="-5"/>
          <w:sz w:val="28"/>
        </w:rPr>
        <w:t>Последствия неявки участника дела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. </w:t>
      </w:r>
      <w:r>
        <w:rPr>
          <w:rFonts w:ascii="Times New Roman" w:hAnsi="Times New Roman"/>
          <w:b w:val="0"/>
          <w:color w:val="000000"/>
          <w:spacing w:val="-5"/>
          <w:sz w:val="28"/>
        </w:rPr>
        <w:t>В зависимости от ситуации возможны два основных варианта развития событий: о</w:t>
      </w:r>
      <w:r>
        <w:rPr>
          <w:rFonts w:ascii="Times New Roman" w:hAnsi="Times New Roman"/>
          <w:b w:val="0"/>
          <w:color w:val="000000"/>
          <w:spacing w:val="-5"/>
          <w:sz w:val="28"/>
        </w:rPr>
        <w:t>тложение судебного разбирательства; р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ассмотрение дела без </w:t>
      </w:r>
      <w:r>
        <w:rPr>
          <w:rFonts w:ascii="Times New Roman" w:hAnsi="Times New Roman"/>
          <w:b w:val="0"/>
          <w:color w:val="000000"/>
          <w:spacing w:val="-5"/>
          <w:sz w:val="28"/>
        </w:rPr>
        <w:t>неявившегося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 участника.</w:t>
      </w:r>
    </w:p>
    <w:p w14:paraId="56000000">
      <w:pPr>
        <w:pStyle w:val="Style_5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pacing w:val="-5"/>
          <w:sz w:val="28"/>
        </w:rPr>
      </w:pP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Прежде </w:t>
      </w:r>
      <w:r>
        <w:rPr>
          <w:rFonts w:ascii="Times New Roman" w:hAnsi="Times New Roman"/>
          <w:b w:val="0"/>
          <w:color w:val="000000"/>
          <w:spacing w:val="-5"/>
          <w:sz w:val="28"/>
        </w:rPr>
        <w:t>всего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 суд устанавливает, было ли лицо надлежащим образом извещено о времени и месте заседания.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Если участник не был извещён </w:t>
      </w:r>
      <w:r>
        <w:rPr>
          <w:rFonts w:ascii="Times New Roman" w:hAnsi="Times New Roman"/>
          <w:b w:val="0"/>
          <w:color w:val="000000"/>
          <w:spacing w:val="-5"/>
          <w:sz w:val="28"/>
        </w:rPr>
        <w:t>–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 разбирательство обязательно откладывается.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pacing w:val="-5"/>
          <w:sz w:val="28"/>
        </w:rPr>
        <w:t>Если участник был извещён, но сообщил о причинах неявки и представил подтверждающие документы, а суд признал эти причины уважительными, заседание также откладывается.</w:t>
      </w:r>
    </w:p>
    <w:p w14:paraId="57000000">
      <w:pPr>
        <w:pStyle w:val="Style_5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pacing w:val="-5"/>
          <w:sz w:val="28"/>
        </w:rPr>
      </w:pP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Кроме того, суд может отложить рассмотрение, если посчитает невозможным вынести решение без участия конкретного лица, даже при его </w:t>
      </w:r>
      <w:r>
        <w:rPr>
          <w:rFonts w:ascii="Times New Roman" w:hAnsi="Times New Roman"/>
          <w:b w:val="0"/>
          <w:color w:val="000000"/>
          <w:spacing w:val="-5"/>
          <w:sz w:val="28"/>
        </w:rPr>
        <w:t>неявке</w:t>
      </w:r>
      <w:r>
        <w:rPr>
          <w:rFonts w:ascii="Times New Roman" w:hAnsi="Times New Roman"/>
          <w:b w:val="0"/>
          <w:color w:val="000000"/>
          <w:spacing w:val="-5"/>
          <w:sz w:val="28"/>
        </w:rPr>
        <w:t>. В</w:t>
      </w:r>
      <w:r>
        <w:rPr>
          <w:rFonts w:ascii="Times New Roman" w:hAnsi="Times New Roman"/>
          <w:b w:val="0"/>
          <w:color w:val="000000"/>
          <w:spacing w:val="-5"/>
          <w:sz w:val="28"/>
        </w:rPr>
        <w:t>о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 всех остальных случаях </w:t>
      </w:r>
      <w:r>
        <w:rPr>
          <w:rFonts w:ascii="Times New Roman" w:hAnsi="Times New Roman"/>
          <w:b w:val="0"/>
          <w:color w:val="000000"/>
          <w:spacing w:val="-5"/>
          <w:sz w:val="28"/>
        </w:rPr>
        <w:t>–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 если участник извещён, но не сообщил о причинах неявки либо суд счёл их неуважительными </w:t>
      </w:r>
      <w:r>
        <w:rPr>
          <w:rFonts w:ascii="Times New Roman" w:hAnsi="Times New Roman"/>
          <w:b w:val="0"/>
          <w:color w:val="000000"/>
          <w:spacing w:val="-5"/>
          <w:sz w:val="28"/>
        </w:rPr>
        <w:t>–</w:t>
      </w:r>
      <w:r>
        <w:rPr>
          <w:rFonts w:ascii="Times New Roman" w:hAnsi="Times New Roman"/>
          <w:b w:val="0"/>
          <w:color w:val="000000"/>
          <w:spacing w:val="-5"/>
          <w:sz w:val="28"/>
        </w:rPr>
        <w:t xml:space="preserve"> дело рассматривается в его отсутствие.</w:t>
      </w:r>
    </w:p>
    <w:p w14:paraId="58000000">
      <w:pPr>
        <w:pStyle w:val="Style_6"/>
        <w:rPr>
          <w:rFonts w:ascii="Times New Roman" w:hAnsi="Times New Roman"/>
          <w:b w:val="0"/>
          <w:color w:val="000000"/>
          <w:spacing w:val="-5"/>
          <w:sz w:val="28"/>
        </w:rPr>
      </w:pPr>
    </w:p>
    <w:p w14:paraId="59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В каких случая согласие на обработку персональных данных не </w:t>
      </w:r>
      <w:r>
        <w:rPr>
          <w:rFonts w:ascii="Times New Roman" w:hAnsi="Times New Roman"/>
          <w:b w:val="1"/>
          <w:color w:val="000000"/>
          <w:sz w:val="28"/>
        </w:rPr>
        <w:t>требуется</w:t>
      </w:r>
      <w:r>
        <w:rPr>
          <w:rFonts w:ascii="Times New Roman" w:hAnsi="Times New Roman"/>
          <w:b w:val="1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A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5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Согласно пункту 1 части 1 статьи 6 Федерального закона от 27.07.2006 № 152-ФЗ «О персональных данных» (далее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Закон о персональных данных), обработка </w:t>
      </w:r>
      <w:r>
        <w:rPr>
          <w:rFonts w:ascii="Times New Roman" w:hAnsi="Times New Roman"/>
          <w:color w:val="000000"/>
          <w:sz w:val="28"/>
        </w:rPr>
        <w:t>персональных данных допускается только при наличии согласия субъекта на такую обработку.</w:t>
      </w:r>
    </w:p>
    <w:p w14:paraId="5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Вместе с тем Закон предусматривает исключения: в пунктах 2–11 части 1 статьи 6 перечислены случаи, когда обработка персональных данных возможна без согласия субъекта. В частности, согласие не требуется, если обработка необходима:</w:t>
      </w:r>
    </w:p>
    <w:p w14:paraId="5D000000">
      <w:pPr>
        <w:widowControl w:val="1"/>
        <w:numPr>
          <w:ilvl w:val="0"/>
          <w:numId w:val="2"/>
        </w:numPr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pacing w:val="-4"/>
          <w:sz w:val="28"/>
        </w:rPr>
      </w:pPr>
      <w:r>
        <w:rPr>
          <w:rFonts w:ascii="Times New Roman" w:hAnsi="Times New Roman"/>
          <w:color w:val="000000"/>
          <w:spacing w:val="-4"/>
          <w:sz w:val="28"/>
        </w:rPr>
        <w:t>Для участия лица в конституционном, гражданском, административном или уголовном судопроизводстве, а также в рассмотрении дел в арбитражных судах;</w:t>
      </w:r>
    </w:p>
    <w:p w14:paraId="5E000000">
      <w:pPr>
        <w:widowControl w:val="1"/>
        <w:numPr>
          <w:ilvl w:val="0"/>
          <w:numId w:val="2"/>
        </w:numPr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pacing w:val="-4"/>
          <w:sz w:val="28"/>
        </w:rPr>
      </w:pPr>
      <w:r>
        <w:rPr>
          <w:rFonts w:ascii="Times New Roman" w:hAnsi="Times New Roman"/>
          <w:color w:val="000000"/>
          <w:spacing w:val="-4"/>
          <w:sz w:val="28"/>
        </w:rPr>
        <w:t>Для исполнения судебного акта либо иного акта органа или должностного лица, подлежащего исполнению в порядке, установленном законодательством РФ об исполнительном производстве;</w:t>
      </w:r>
    </w:p>
    <w:p w14:paraId="5F000000">
      <w:pPr>
        <w:widowControl w:val="1"/>
        <w:numPr>
          <w:ilvl w:val="0"/>
          <w:numId w:val="2"/>
        </w:numPr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pacing w:val="-4"/>
          <w:sz w:val="28"/>
        </w:rPr>
      </w:pPr>
      <w:r>
        <w:rPr>
          <w:rFonts w:ascii="Times New Roman" w:hAnsi="Times New Roman"/>
          <w:color w:val="000000"/>
          <w:spacing w:val="-4"/>
          <w:sz w:val="28"/>
        </w:rPr>
        <w:t xml:space="preserve">Для заключения договора по инициативе самого гражданина или договора, по которому он выступает в качестве </w:t>
      </w:r>
      <w:r>
        <w:rPr>
          <w:rFonts w:ascii="Times New Roman" w:hAnsi="Times New Roman"/>
          <w:color w:val="000000"/>
          <w:spacing w:val="-4"/>
          <w:sz w:val="28"/>
        </w:rPr>
        <w:t>выгодоприобретателя</w:t>
      </w:r>
      <w:r>
        <w:rPr>
          <w:rFonts w:ascii="Times New Roman" w:hAnsi="Times New Roman"/>
          <w:color w:val="000000"/>
          <w:spacing w:val="-4"/>
          <w:sz w:val="28"/>
        </w:rPr>
        <w:t xml:space="preserve"> или поручителя (например, при указании паспортных данных индивидуального предпринимателя в договоре аренды помещения);</w:t>
      </w:r>
    </w:p>
    <w:p w14:paraId="60000000">
      <w:pPr>
        <w:widowControl w:val="1"/>
        <w:numPr>
          <w:ilvl w:val="0"/>
          <w:numId w:val="2"/>
        </w:numPr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pacing w:val="-4"/>
          <w:sz w:val="28"/>
        </w:rPr>
      </w:pPr>
      <w:r>
        <w:rPr>
          <w:rFonts w:ascii="Times New Roman" w:hAnsi="Times New Roman"/>
          <w:color w:val="000000"/>
          <w:spacing w:val="-4"/>
          <w:sz w:val="28"/>
        </w:rPr>
        <w:t>Для исполнения условий договора, стороной которого является гражданин (в частности, при запросе его адреса для доставки заказанного товара);</w:t>
      </w:r>
    </w:p>
    <w:p w14:paraId="61000000">
      <w:pPr>
        <w:widowControl w:val="1"/>
        <w:numPr>
          <w:ilvl w:val="0"/>
          <w:numId w:val="2"/>
        </w:numPr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pacing w:val="-4"/>
          <w:sz w:val="28"/>
        </w:rPr>
      </w:pPr>
      <w:r>
        <w:rPr>
          <w:rFonts w:ascii="Times New Roman" w:hAnsi="Times New Roman"/>
          <w:color w:val="000000"/>
          <w:spacing w:val="-4"/>
          <w:sz w:val="28"/>
        </w:rPr>
        <w:t>Для защиты жизни, здоровья или иных жизненно важных интересов субъекта персональных данных, если в конкретной ситуации невозможно получить его согласие;</w:t>
      </w:r>
    </w:p>
    <w:p w14:paraId="62000000">
      <w:pPr>
        <w:widowControl w:val="1"/>
        <w:numPr>
          <w:ilvl w:val="0"/>
          <w:numId w:val="2"/>
        </w:numPr>
        <w:spacing w:after="0" w:before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pacing w:val="-4"/>
          <w:sz w:val="28"/>
        </w:rPr>
      </w:pPr>
      <w:r>
        <w:rPr>
          <w:rFonts w:ascii="Times New Roman" w:hAnsi="Times New Roman"/>
          <w:color w:val="000000"/>
          <w:spacing w:val="-4"/>
          <w:sz w:val="28"/>
        </w:rPr>
        <w:t xml:space="preserve">При осуществлении профессиональной деятельности журналиста и (или) законной деятельности средства массовой информации, а также при реализации научной, литературной или иной творческой деятельности </w:t>
      </w:r>
      <w:r>
        <w:rPr>
          <w:rFonts w:ascii="Times New Roman" w:hAnsi="Times New Roman"/>
          <w:color w:val="000000"/>
          <w:spacing w:val="-4"/>
          <w:sz w:val="28"/>
        </w:rPr>
        <w:t>–</w:t>
      </w:r>
      <w:r>
        <w:rPr>
          <w:rFonts w:ascii="Times New Roman" w:hAnsi="Times New Roman"/>
          <w:color w:val="000000"/>
          <w:spacing w:val="-4"/>
          <w:sz w:val="28"/>
        </w:rPr>
        <w:t xml:space="preserve"> при условии, что при этом не нарушаются права и законные интересы субъекта персональных данных.</w:t>
      </w:r>
    </w:p>
    <w:p w14:paraId="63000000">
      <w:pPr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Таким образом, хотя общим правилом является необходимость согласия субъекта, законодатель предусматривает ряд обоснованных исключений, при которых обработка персональных данных допустима без такого согласия.</w:t>
      </w:r>
    </w:p>
    <w:p w14:paraId="64000000">
      <w:pPr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6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66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Можно ли отказаться от товара, приобретенного через интернет-магазин?</w:t>
      </w:r>
    </w:p>
    <w:p w14:paraId="67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  <w:highlight w:val="white"/>
        </w:rPr>
      </w:pPr>
    </w:p>
    <w:p w14:paraId="68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Особенности дистанционного способа продажи товаров регулируются статьёй 497 Гражданского кодекса Российской Федерации и статьёй 26.1 Закона РФ от 07.02.1992 № 2300-1 «О защите прав потребителей». Договор розничной купли-продажи, заключённый дистанционным способом, считается исполненным с момента доставки товара в место, указанное в договоре; если же место передачи не определено,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с момента доставки товара по месту жительства покупателя-гражданина. Потребитель вправе отказаться от товара в любое время до его передачи, а после пе</w:t>
      </w:r>
      <w:r>
        <w:rPr>
          <w:rFonts w:ascii="Times New Roman" w:hAnsi="Times New Roman"/>
          <w:color w:val="000000"/>
          <w:sz w:val="28"/>
        </w:rPr>
        <w:t xml:space="preserve">редачи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в течение семи дней.  </w:t>
      </w:r>
    </w:p>
    <w:p w14:paraId="69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Возврат товара надлежащего качества возможен при условии сохранения его товарного вида, потребительских свойств и наличия документа, подтверждающего факт и условия покупки. При этом отсутствие такого документа не лишает потребителя права </w:t>
      </w:r>
      <w:r>
        <w:rPr>
          <w:rFonts w:ascii="Times New Roman" w:hAnsi="Times New Roman"/>
          <w:color w:val="000000"/>
          <w:sz w:val="28"/>
        </w:rPr>
        <w:t xml:space="preserve">ссылаться на иные доказательства, свидетельствующие о приобретении товара у данного продавца.  </w:t>
      </w:r>
    </w:p>
    <w:p w14:paraId="6A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Не подлежит возврату товар надлежащего качества, обладающий индивидуально-определёнными свойствами, если он может быть использован исключительно тем потребителем, который его приобрёл.  </w:t>
      </w:r>
    </w:p>
    <w:p w14:paraId="6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случае отказа от товара продавец обязан возвратить потребителю уплаченную за него сумму, за исключением расходов на доставку возвращённого товара от потребителя, не позднее чем в течение десяти дней с момента предъявления соответствующего требования.</w:t>
      </w:r>
    </w:p>
    <w:p w14:paraId="6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6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6E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Могут ли отозвать из отпуска</w:t>
      </w:r>
    </w:p>
    <w:p w14:paraId="6F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70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Согласно статье 125 Трудового кодекса Российской Федерации (далее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ТК РФ), работник может быть отозван из ежегодного </w:t>
      </w:r>
      <w:r>
        <w:rPr>
          <w:rFonts w:ascii="Times New Roman" w:hAnsi="Times New Roman"/>
          <w:color w:val="000000"/>
          <w:sz w:val="28"/>
        </w:rPr>
        <w:t xml:space="preserve">оплачиваемого отпуска, однако </w:t>
      </w:r>
      <w:r>
        <w:rPr>
          <w:rFonts w:ascii="Times New Roman" w:hAnsi="Times New Roman"/>
          <w:color w:val="000000"/>
          <w:sz w:val="28"/>
        </w:rPr>
        <w:t>тол</w:t>
      </w:r>
      <w:r>
        <w:rPr>
          <w:rFonts w:ascii="Times New Roman" w:hAnsi="Times New Roman"/>
          <w:color w:val="000000"/>
          <w:sz w:val="28"/>
        </w:rPr>
        <w:t>ько с его письменного согласия</w:t>
      </w:r>
      <w:r>
        <w:rPr>
          <w:rFonts w:ascii="Times New Roman" w:hAnsi="Times New Roman"/>
          <w:color w:val="000000"/>
          <w:sz w:val="28"/>
        </w:rPr>
        <w:t xml:space="preserve">. Исключения из этого правила установлены в отдельных нормах ТК РФ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например, в статье 252.</w:t>
      </w:r>
    </w:p>
    <w:p w14:paraId="71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Если работник дал согласие на </w:t>
      </w:r>
      <w:r>
        <w:rPr>
          <w:rFonts w:ascii="Times New Roman" w:hAnsi="Times New Roman"/>
          <w:color w:val="000000"/>
          <w:sz w:val="28"/>
        </w:rPr>
        <w:t xml:space="preserve">досрочное прерывание отпуска, неиспользованная его часть </w:t>
      </w:r>
      <w:r>
        <w:rPr>
          <w:rFonts w:ascii="Times New Roman" w:hAnsi="Times New Roman"/>
          <w:color w:val="000000"/>
          <w:sz w:val="28"/>
        </w:rPr>
        <w:t xml:space="preserve">должна быть предоставлена по его </w:t>
      </w:r>
      <w:r>
        <w:rPr>
          <w:rFonts w:ascii="Times New Roman" w:hAnsi="Times New Roman"/>
          <w:color w:val="000000"/>
          <w:sz w:val="28"/>
        </w:rPr>
        <w:t>желанию</w:t>
      </w:r>
      <w:r>
        <w:rPr>
          <w:rFonts w:ascii="Times New Roman" w:hAnsi="Times New Roman"/>
          <w:color w:val="000000"/>
          <w:sz w:val="28"/>
        </w:rPr>
        <w:t xml:space="preserve"> либо в удобное для него время в течение текущего рабочего года, либо присоединена к отпуску за следующий рабочий год.</w:t>
      </w:r>
    </w:p>
    <w:p w14:paraId="7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Финансовые последствия отзыва следующие: суммы, ранее выплаченные за дни отпуска, которые теперь не используются, засчитываются в счёт заработной платы за фактически отработанное время. При этом при последующем предоставлении неиспользованной части отпуска средний заработок рассчитывается заново.</w:t>
      </w:r>
    </w:p>
    <w:p w14:paraId="7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Важно, что </w:t>
      </w:r>
      <w:r>
        <w:rPr>
          <w:rFonts w:ascii="Times New Roman" w:hAnsi="Times New Roman"/>
          <w:color w:val="000000"/>
          <w:sz w:val="28"/>
        </w:rPr>
        <w:t>закон</w:t>
      </w:r>
      <w:r>
        <w:rPr>
          <w:rFonts w:ascii="Times New Roman" w:hAnsi="Times New Roman"/>
          <w:color w:val="000000"/>
          <w:sz w:val="28"/>
        </w:rPr>
        <w:t xml:space="preserve"> запрещает отзывать из отпуска</w:t>
      </w:r>
      <w:r>
        <w:rPr>
          <w:rFonts w:ascii="Times New Roman" w:hAnsi="Times New Roman"/>
          <w:color w:val="000000"/>
          <w:sz w:val="28"/>
        </w:rPr>
        <w:t>, даже при наличии согласия, следующие категории работников:</w:t>
      </w:r>
      <w:r>
        <w:rPr>
          <w:rFonts w:ascii="Times New Roman" w:hAnsi="Times New Roman"/>
          <w:color w:val="000000"/>
          <w:sz w:val="28"/>
        </w:rPr>
        <w:t xml:space="preserve"> несовершеннолетних (до 18 лет); </w:t>
      </w:r>
      <w:r>
        <w:rPr>
          <w:rFonts w:ascii="Times New Roman" w:hAnsi="Times New Roman"/>
          <w:color w:val="000000"/>
          <w:sz w:val="28"/>
        </w:rPr>
        <w:t xml:space="preserve">беременных женщин; </w:t>
      </w:r>
      <w:r>
        <w:rPr>
          <w:rFonts w:ascii="Times New Roman" w:hAnsi="Times New Roman"/>
          <w:color w:val="000000"/>
          <w:sz w:val="28"/>
        </w:rPr>
        <w:t>работников, занятых на работах с вредными и (или) опасными условиями труда.</w:t>
      </w:r>
    </w:p>
    <w:p w14:paraId="7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соблюдения установленной процедуры отзыва необходимо:  </w:t>
      </w:r>
      <w:r>
        <w:rPr>
          <w:rFonts w:ascii="Times New Roman" w:hAnsi="Times New Roman"/>
          <w:color w:val="000000"/>
          <w:sz w:val="28"/>
        </w:rPr>
        <w:t>получить от работника письменное согласие</w:t>
      </w:r>
      <w:r>
        <w:rPr>
          <w:rFonts w:ascii="Times New Roman" w:hAnsi="Times New Roman"/>
          <w:color w:val="000000"/>
          <w:sz w:val="28"/>
        </w:rPr>
        <w:t xml:space="preserve">;  </w:t>
      </w:r>
      <w:r>
        <w:rPr>
          <w:rFonts w:ascii="Times New Roman" w:hAnsi="Times New Roman"/>
          <w:color w:val="000000"/>
          <w:sz w:val="28"/>
        </w:rPr>
        <w:t>издать приказ об отзыве</w:t>
      </w:r>
      <w:r>
        <w:rPr>
          <w:rFonts w:ascii="Times New Roman" w:hAnsi="Times New Roman"/>
          <w:color w:val="000000"/>
          <w:sz w:val="28"/>
        </w:rPr>
        <w:t xml:space="preserve"> и ознакомить с ним сотрудника под подпись; </w:t>
      </w:r>
      <w:r>
        <w:rPr>
          <w:rFonts w:ascii="Times New Roman" w:hAnsi="Times New Roman"/>
          <w:color w:val="000000"/>
          <w:sz w:val="28"/>
        </w:rPr>
        <w:t xml:space="preserve">внести соответствующие </w:t>
      </w:r>
      <w:r>
        <w:rPr>
          <w:rFonts w:ascii="Times New Roman" w:hAnsi="Times New Roman"/>
          <w:color w:val="000000"/>
          <w:sz w:val="28"/>
        </w:rPr>
        <w:t>измен</w:t>
      </w:r>
      <w:r>
        <w:rPr>
          <w:rFonts w:ascii="Times New Roman" w:hAnsi="Times New Roman"/>
          <w:color w:val="000000"/>
          <w:sz w:val="28"/>
        </w:rPr>
        <w:t>ения в график отпусков</w:t>
      </w:r>
      <w:r>
        <w:rPr>
          <w:rFonts w:ascii="Times New Roman" w:hAnsi="Times New Roman"/>
          <w:color w:val="000000"/>
          <w:sz w:val="28"/>
        </w:rPr>
        <w:t xml:space="preserve">; 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 xml:space="preserve">табеле учёта рабочего времени </w:t>
      </w:r>
      <w:r>
        <w:rPr>
          <w:rFonts w:ascii="Times New Roman" w:hAnsi="Times New Roman"/>
          <w:color w:val="000000"/>
          <w:sz w:val="28"/>
        </w:rPr>
        <w:t>отразить дни</w:t>
      </w:r>
      <w:r>
        <w:rPr>
          <w:rFonts w:ascii="Times New Roman" w:hAnsi="Times New Roman"/>
          <w:color w:val="000000"/>
          <w:sz w:val="28"/>
        </w:rPr>
        <w:t xml:space="preserve"> после отзыва как отработанные</w:t>
      </w:r>
      <w:r>
        <w:rPr>
          <w:rFonts w:ascii="Times New Roman" w:hAnsi="Times New Roman"/>
          <w:color w:val="000000"/>
          <w:sz w:val="28"/>
        </w:rPr>
        <w:t>.</w:t>
      </w:r>
    </w:p>
    <w:p w14:paraId="7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8"/>
        </w:rPr>
        <w:t xml:space="preserve">Следует учитывать: </w:t>
      </w:r>
      <w:r>
        <w:rPr>
          <w:rFonts w:ascii="Times New Roman" w:hAnsi="Times New Roman"/>
          <w:color w:val="000000"/>
          <w:sz w:val="28"/>
        </w:rPr>
        <w:t xml:space="preserve">отказ работника выйти на работу до окончания отпуска </w:t>
      </w:r>
      <w:r>
        <w:rPr>
          <w:rFonts w:ascii="Times New Roman" w:hAnsi="Times New Roman"/>
          <w:color w:val="000000"/>
          <w:spacing w:val="0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даже без объяснения причин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не может рассматриваться как нарушение т</w:t>
      </w:r>
      <w:r>
        <w:rPr>
          <w:rFonts w:ascii="Times New Roman" w:hAnsi="Times New Roman"/>
          <w:color w:val="000000"/>
          <w:sz w:val="28"/>
        </w:rPr>
        <w:t>рудовой дисциплины</w:t>
      </w:r>
      <w:r>
        <w:rPr>
          <w:rFonts w:ascii="Times New Roman" w:hAnsi="Times New Roman"/>
          <w:color w:val="000000"/>
          <w:sz w:val="28"/>
        </w:rPr>
        <w:t>, поскольку отзыв возможен исключительно на добровольной основе.</w:t>
      </w:r>
    </w:p>
    <w:sectPr>
      <w:headerReference r:id="rId1" w:type="default"/>
      <w:footerReference r:id="rId2" w:type="first"/>
      <w:type w:val="nextPage"/>
      <w:pgSz w:h="16838" w:orient="portrait" w:w="11906"/>
      <w:pgMar w:bottom="680" w:footer="454" w:left="1418" w:right="567" w:top="680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W w:type="auto" w:w="0"/>
      <w:jc w:val="right"/>
      <w:tblInd w:type="dxa" w:w="0"/>
      <w:tblLayout w:type="fixed"/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sdt>
          <w:sdtPr>
            <w:lock w:val="sdtContentLocked"/>
          </w:sdtPr>
          <w:sdtContent>
            <w:p w14:paraId="03000000">
              <w:pPr>
                <w:pStyle w:val="Style_3"/>
                <w:widowControl w:val="0"/>
                <w:spacing w:after="60"/>
                <w:ind/>
                <w:jc w:val="center"/>
                <w:rPr>
                  <w:sz w:val="16"/>
                </w:rPr>
              </w:pPr>
              <w:bookmarkStart w:id="1" w:name="SIGNERORG1"/>
              <w:bookmarkStart w:id="2" w:name="_Hlk129696017"/>
              <w:r>
                <w:rPr>
                  <w:sz w:val="16"/>
                </w:rPr>
                <w:t>организация</w:t>
              </w:r>
              <w:bookmarkEnd w:id="1"/>
            </w:p>
            <w:p w14:paraId="04000000">
              <w:pPr>
                <w:pStyle w:val="Style_3"/>
                <w:widowControl w:val="0"/>
                <w:spacing w:after="60"/>
                <w:ind/>
                <w:jc w:val="center"/>
              </w:pPr>
              <w:r>
                <w:rPr>
                  <w:rStyle w:val="Style_2_ch"/>
                  <w:sz w:val="16"/>
                </w:rPr>
                <w:t xml:space="preserve">№ </w:t>
              </w:r>
              <w:bookmarkStart w:id="3" w:name="REGNUMSTAMP"/>
              <w:r>
                <w:rPr>
                  <w:rStyle w:val="Style_2_ch"/>
                  <w:color w:val="BFBFBF"/>
                  <w:sz w:val="16"/>
                </w:rPr>
                <w:t>рег.номер</w:t>
              </w:r>
              <w:bookmarkEnd w:id="3"/>
            </w:p>
          </w:sdtContent>
        </w:sdt>
      </w:tc>
    </w:tr>
  </w:tbl>
  <w:p w14:paraId="05000000">
    <w:pPr>
      <w:pStyle w:val="Style_4"/>
      <w:widowControl w:val="0"/>
      <w:ind/>
      <w:jc w:val="right"/>
    </w:pPr>
    <w:bookmarkEnd w:id="2"/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Текст выноски"/>
    <w:basedOn w:val="Style_3"/>
    <w:link w:val="Style_9_ch"/>
    <w:rPr>
      <w:rFonts w:ascii="Tahoma" w:hAnsi="Tahoma"/>
      <w:sz w:val="16"/>
    </w:rPr>
  </w:style>
  <w:style w:styleId="Style_9_ch" w:type="character">
    <w:name w:val="Текст выноски"/>
    <w:basedOn w:val="Style_3_ch"/>
    <w:link w:val="Style_9"/>
    <w:rPr>
      <w:rFonts w:ascii="Tahoma" w:hAnsi="Tahoma"/>
      <w:sz w:val="16"/>
    </w:rPr>
  </w:style>
  <w:style w:styleId="Style_10" w:type="paragraph">
    <w:name w:val="toc 6"/>
    <w:next w:val="Style_6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5" w:type="paragraph">
    <w:name w:val="heading 3"/>
    <w:next w:val="Style_6"/>
    <w:link w:val="Style_5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5_ch" w:type="character">
    <w:name w:val="heading 3"/>
    <w:link w:val="Style_5"/>
    <w:rPr>
      <w:rFonts w:ascii="XO Thames" w:hAnsi="XO Thames"/>
      <w:b w:val="1"/>
      <w:sz w:val="26"/>
    </w:rPr>
  </w:style>
  <w:style w:styleId="Style_3" w:type="paragraph">
    <w:name w:val="Обычный"/>
    <w:link w:val="Style_3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3_ch" w:type="character">
    <w:name w:val="Обычный"/>
    <w:link w:val="Style_3"/>
    <w:rPr>
      <w:rFonts w:ascii="Times New Roman" w:hAnsi="Times New Roman"/>
      <w:sz w:val="28"/>
    </w:rPr>
  </w:style>
  <w:style w:styleId="Style_13" w:type="paragraph">
    <w:name w:val="Нижний колонтитул Знак"/>
    <w:basedOn w:val="Style_2"/>
    <w:next w:val="Style_2"/>
    <w:link w:val="Style_13_ch"/>
  </w:style>
  <w:style w:styleId="Style_13_ch" w:type="character">
    <w:name w:val="Нижний колонтитул Знак"/>
    <w:basedOn w:val="Style_2_ch"/>
    <w:link w:val="Style_13"/>
  </w:style>
  <w:style w:styleId="Style_14" w:type="paragraph">
    <w:name w:val="toc 3"/>
    <w:next w:val="Style_6"/>
    <w:link w:val="Style_1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4" w:type="paragraph">
    <w:name w:val="Нижний колонтитул"/>
    <w:basedOn w:val="Style_3"/>
    <w:link w:val="Style_4_ch"/>
    <w:pPr>
      <w:widowControl w:val="0"/>
      <w:tabs>
        <w:tab w:leader="none" w:pos="4677" w:val="center"/>
        <w:tab w:leader="none" w:pos="9355" w:val="right"/>
      </w:tabs>
      <w:ind/>
    </w:pPr>
  </w:style>
  <w:style w:styleId="Style_4_ch" w:type="character">
    <w:name w:val="Нижний колонтитул"/>
    <w:basedOn w:val="Style_3_ch"/>
    <w:link w:val="Style_4"/>
  </w:style>
  <w:style w:styleId="Style_2" w:type="paragraph">
    <w:name w:val="Основной шрифт абзаца"/>
    <w:link w:val="Style_2_ch"/>
  </w:style>
  <w:style w:styleId="Style_2_ch" w:type="character">
    <w:name w:val="Основной шрифт абзаца"/>
    <w:link w:val="Style_2"/>
  </w:style>
  <w:style w:styleId="Style_15" w:type="paragraph">
    <w:name w:val="heading 5"/>
    <w:next w:val="Style_6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6"/>
    <w:link w:val="Style_1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Верхний колонтитул Знак"/>
    <w:basedOn w:val="Style_2"/>
    <w:next w:val="Style_2"/>
    <w:link w:val="Style_17_ch"/>
  </w:style>
  <w:style w:styleId="Style_17_ch" w:type="character">
    <w:name w:val="Верхний колонтитул Знак"/>
    <w:basedOn w:val="Style_2_ch"/>
    <w:link w:val="Style_17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6"/>
    <w:link w:val="Style_2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6"/>
    <w:link w:val="Style_2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Текст выноски Знак"/>
    <w:basedOn w:val="Style_2"/>
    <w:next w:val="Style_2"/>
    <w:link w:val="Style_24_ch"/>
    <w:rPr>
      <w:rFonts w:ascii="Tahoma" w:hAnsi="Tahoma"/>
      <w:sz w:val="16"/>
    </w:rPr>
  </w:style>
  <w:style w:styleId="Style_24_ch" w:type="character">
    <w:name w:val="Текст выноски Знак"/>
    <w:basedOn w:val="Style_2_ch"/>
    <w:link w:val="Style_24"/>
    <w:rPr>
      <w:rFonts w:ascii="Tahoma" w:hAnsi="Tahoma"/>
      <w:sz w:val="16"/>
    </w:rPr>
  </w:style>
  <w:style w:styleId="Style_25" w:type="paragraph">
    <w:name w:val="toc 5"/>
    <w:next w:val="Style_6"/>
    <w:link w:val="Style_25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1" w:type="paragraph">
    <w:name w:val="Верхний колонтитул"/>
    <w:basedOn w:val="Style_3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3_ch"/>
    <w:link w:val="Style_1"/>
  </w:style>
  <w:style w:styleId="Style_26" w:type="paragraph">
    <w:name w:val="Subtitle"/>
    <w:next w:val="Style_6"/>
    <w:link w:val="Style_2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6"/>
    <w:link w:val="Style_2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6"/>
    <w:link w:val="Style_2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6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footer2.xml" Type="http://schemas.openxmlformats.org/officeDocument/2006/relationships/foot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2026-01-27T10:43:58Z</dcterms:created>
  <dcterms:modified xsi:type="dcterms:W3CDTF">2026-01-27T10:44:11Z</dcterms:modified>
</cp:coreProperties>
</file>