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95" w:rsidRPr="00FF1449" w:rsidRDefault="00F83595" w:rsidP="00F835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АДМИНИСТРАЦИЯ</w:t>
      </w:r>
    </w:p>
    <w:p w:rsidR="00F83595" w:rsidRPr="00FF1449" w:rsidRDefault="00F83595" w:rsidP="00F835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МУНИЦИПАЛЬНОГО ОБРАЗОВАНИЯ</w:t>
      </w:r>
    </w:p>
    <w:p w:rsidR="00F83595" w:rsidRPr="00FF1449" w:rsidRDefault="00F83595" w:rsidP="00F835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БУРЛЫКСКИЙ СЕЛЬСОВЕТ</w:t>
      </w:r>
    </w:p>
    <w:p w:rsidR="00F83595" w:rsidRPr="00FF1449" w:rsidRDefault="00F83595" w:rsidP="00F835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34"/>
      </w:tblGrid>
      <w:tr w:rsidR="00F83595" w:rsidRPr="00FF1449" w:rsidTr="008934BF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83595" w:rsidRPr="00FF1449" w:rsidRDefault="00F83595" w:rsidP="00F835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83595" w:rsidRPr="00FF1449" w:rsidRDefault="00F83595" w:rsidP="00F835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83595" w:rsidRPr="00FF1449" w:rsidRDefault="00F83595" w:rsidP="00F835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F14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  <w:p w:rsidR="00F83595" w:rsidRPr="00FF1449" w:rsidRDefault="00F83595" w:rsidP="00F835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F83595" w:rsidRPr="00FF1449" w:rsidRDefault="00F83595" w:rsidP="00F835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29</w:t>
      </w: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.2026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25</w:t>
      </w:r>
      <w:r w:rsidRPr="00FF1449">
        <w:rPr>
          <w:rFonts w:ascii="Times New Roman" w:eastAsia="Times New Roman" w:hAnsi="Times New Roman" w:cs="Times New Roman"/>
          <w:sz w:val="28"/>
          <w:szCs w:val="28"/>
          <w:lang w:eastAsia="en-US"/>
        </w:rPr>
        <w:t>-п</w:t>
      </w:r>
    </w:p>
    <w:p w:rsidR="00F83595" w:rsidRPr="00FF1449" w:rsidRDefault="00F83595" w:rsidP="00F835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Cs w:val="24"/>
          <w:lang w:eastAsia="en-US"/>
        </w:rPr>
      </w:pPr>
    </w:p>
    <w:p w:rsidR="00F83595" w:rsidRPr="00FF1449" w:rsidRDefault="00F83595" w:rsidP="00F835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Cs w:val="24"/>
          <w:lang w:eastAsia="en-US"/>
        </w:rPr>
      </w:pPr>
      <w:r w:rsidRPr="00FF1449">
        <w:rPr>
          <w:rFonts w:ascii="Times New Roman" w:eastAsia="Times New Roman" w:hAnsi="Times New Roman" w:cs="Times New Roman"/>
          <w:szCs w:val="24"/>
          <w:lang w:eastAsia="en-US"/>
        </w:rPr>
        <w:t>п. Бурлыкский</w:t>
      </w:r>
    </w:p>
    <w:p w:rsidR="00964048" w:rsidRPr="00964048" w:rsidRDefault="00964048" w:rsidP="00F835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4048" w:rsidRPr="00964048" w:rsidRDefault="00964048" w:rsidP="00F835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Hlk514678899"/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  утверждении  административного</w:t>
      </w:r>
      <w:r w:rsidR="00F835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регламента</w:t>
      </w:r>
      <w:r w:rsidR="00F835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</w:p>
    <w:p w:rsidR="00964048" w:rsidRPr="00964048" w:rsidRDefault="00964048" w:rsidP="00F835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 услуги</w:t>
      </w:r>
      <w:bookmarkStart w:id="1" w:name="_Hlk55807956"/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bookmarkEnd w:id="0"/>
      <w:r w:rsidRPr="00964048">
        <w:rPr>
          <w:rFonts w:ascii="Times New Roman" w:eastAsia="Times New Roman" w:hAnsi="Times New Roman" w:cs="Times New Roman"/>
          <w:sz w:val="28"/>
          <w:szCs w:val="28"/>
        </w:rPr>
        <w:t>Выдача   разрешений</w:t>
      </w:r>
      <w:r w:rsidR="00F83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048">
        <w:rPr>
          <w:rFonts w:ascii="Times New Roman" w:eastAsia="Times New Roman" w:hAnsi="Times New Roman" w:cs="Times New Roman"/>
          <w:sz w:val="28"/>
          <w:szCs w:val="28"/>
        </w:rPr>
        <w:t>на право вырубки зеленых насаждений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bookmarkEnd w:id="1"/>
    </w:p>
    <w:p w:rsidR="00964048" w:rsidRPr="00964048" w:rsidRDefault="00964048" w:rsidP="0096404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64048" w:rsidRPr="00964048" w:rsidRDefault="00964048" w:rsidP="00964048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F83595">
        <w:rPr>
          <w:rFonts w:ascii="Times New Roman" w:eastAsia="Times New Roman" w:hAnsi="Times New Roman" w:cs="Times New Roman"/>
          <w:sz w:val="28"/>
          <w:szCs w:val="28"/>
        </w:rPr>
        <w:t>27.07.</w:t>
      </w:r>
      <w:r w:rsidRPr="00964048">
        <w:rPr>
          <w:rFonts w:ascii="Times New Roman" w:eastAsia="Times New Roman" w:hAnsi="Times New Roman" w:cs="Times New Roman"/>
          <w:sz w:val="28"/>
          <w:szCs w:val="28"/>
        </w:rPr>
        <w:t xml:space="preserve">2010 года № 210-ФЗ «Об организации предоставления государственных и муниципальных услуг», </w:t>
      </w:r>
      <w:r w:rsidR="00F83595" w:rsidRPr="00012A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 администрации муниципального образования </w:t>
      </w:r>
      <w:r w:rsidR="00F83595">
        <w:rPr>
          <w:rFonts w:ascii="Times New Roman" w:hAnsi="Times New Roman" w:cs="Times New Roman"/>
          <w:sz w:val="28"/>
          <w:szCs w:val="28"/>
        </w:rPr>
        <w:t>Бурлыкский сель</w:t>
      </w:r>
      <w:r w:rsidR="00F83595" w:rsidRPr="00255885">
        <w:rPr>
          <w:rFonts w:ascii="Times New Roman" w:hAnsi="Times New Roman" w:cs="Times New Roman"/>
          <w:sz w:val="28"/>
          <w:szCs w:val="28"/>
        </w:rPr>
        <w:t>совет</w:t>
      </w:r>
      <w:r w:rsidR="00F83595" w:rsidRPr="00012AC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8359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83595" w:rsidRPr="008854C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83595">
        <w:rPr>
          <w:rFonts w:ascii="Times New Roman" w:eastAsia="Times New Roman" w:hAnsi="Times New Roman" w:cs="Times New Roman"/>
          <w:sz w:val="28"/>
          <w:szCs w:val="28"/>
        </w:rPr>
        <w:t>6</w:t>
      </w:r>
      <w:r w:rsidR="00F83595" w:rsidRPr="008854C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835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3595" w:rsidRPr="008854C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83595">
        <w:rPr>
          <w:rFonts w:ascii="Times New Roman" w:eastAsia="Times New Roman" w:hAnsi="Times New Roman" w:cs="Times New Roman"/>
          <w:sz w:val="28"/>
          <w:szCs w:val="28"/>
        </w:rPr>
        <w:t>52</w:t>
      </w:r>
      <w:r w:rsidR="00F83595" w:rsidRPr="008854C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F83595" w:rsidRPr="00012AC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83595" w:rsidRPr="00FF1449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услуг, проведения </w:t>
      </w:r>
      <w:proofErr w:type="gramStart"/>
      <w:r w:rsidR="00F83595" w:rsidRPr="00FF1449">
        <w:rPr>
          <w:rFonts w:ascii="Times New Roman" w:eastAsia="Calibri" w:hAnsi="Times New Roman" w:cs="Times New Roman"/>
          <w:bCs/>
          <w:sz w:val="28"/>
          <w:szCs w:val="28"/>
        </w:rPr>
        <w:t>экспертизы проектов административных регламентов предоставления муниципальных услуг муниципального</w:t>
      </w:r>
      <w:proofErr w:type="gramEnd"/>
      <w:r w:rsidR="00F83595" w:rsidRPr="00FF1449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 Бурлыкский сельсовет Беляевского района Оренбургской области</w:t>
      </w:r>
      <w:r w:rsidR="00F83595" w:rsidRPr="00012ACC">
        <w:rPr>
          <w:rFonts w:ascii="Times New Roman" w:eastAsia="Times New Roman" w:hAnsi="Times New Roman" w:cs="Times New Roman"/>
          <w:sz w:val="28"/>
          <w:szCs w:val="28"/>
        </w:rPr>
        <w:t xml:space="preserve">», руководствуясь Уставом муниципального образования </w:t>
      </w:r>
      <w:r w:rsidR="00F83595">
        <w:rPr>
          <w:rFonts w:ascii="Times New Roman" w:hAnsi="Times New Roman" w:cs="Times New Roman"/>
          <w:sz w:val="28"/>
          <w:szCs w:val="28"/>
        </w:rPr>
        <w:t>Бурлыкский сель</w:t>
      </w:r>
      <w:r w:rsidR="00F83595" w:rsidRPr="00255885">
        <w:rPr>
          <w:rFonts w:ascii="Times New Roman" w:hAnsi="Times New Roman" w:cs="Times New Roman"/>
          <w:sz w:val="28"/>
          <w:szCs w:val="28"/>
        </w:rPr>
        <w:t>совет</w:t>
      </w:r>
      <w:r w:rsidR="00F83595">
        <w:rPr>
          <w:rFonts w:ascii="Times New Roman" w:hAnsi="Times New Roman" w:cs="Times New Roman"/>
          <w:sz w:val="28"/>
          <w:szCs w:val="28"/>
        </w:rPr>
        <w:t>:</w:t>
      </w:r>
    </w:p>
    <w:p w:rsidR="00964048" w:rsidRPr="00964048" w:rsidRDefault="00964048" w:rsidP="00964048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1. Утвердить административный регламент предоставления муниципальной услуги «</w:t>
      </w:r>
      <w:r w:rsidRPr="00964048">
        <w:rPr>
          <w:rFonts w:ascii="Times New Roman" w:eastAsia="Times New Roman" w:hAnsi="Times New Roman" w:cs="Times New Roman"/>
          <w:sz w:val="28"/>
          <w:szCs w:val="28"/>
        </w:rPr>
        <w:t>Выдача разрешений на право вырубки зеленых насаждений»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согласно приложению. </w:t>
      </w:r>
    </w:p>
    <w:p w:rsidR="00964048" w:rsidRPr="00964048" w:rsidRDefault="00964048" w:rsidP="00964048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Pr="00964048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постановление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сельсовета от </w:t>
      </w:r>
      <w:r w:rsidR="00F83595">
        <w:rPr>
          <w:rFonts w:ascii="Times New Roman" w:eastAsia="Times New Roman" w:hAnsi="Times New Roman" w:cs="Times New Roman"/>
          <w:sz w:val="28"/>
          <w:szCs w:val="28"/>
        </w:rPr>
        <w:t>13.12.2023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F83595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964048">
        <w:rPr>
          <w:rFonts w:ascii="Times New Roman" w:eastAsia="Times New Roman" w:hAnsi="Times New Roman" w:cs="Times New Roman"/>
          <w:sz w:val="28"/>
          <w:szCs w:val="28"/>
        </w:rPr>
        <w:t>-п «Об утверждении административного регламента предоставления муниципальной услуги «Выдача разрешений на право вырубки зеленых насаждений».</w:t>
      </w:r>
    </w:p>
    <w:p w:rsidR="00964048" w:rsidRPr="00964048" w:rsidRDefault="00964048" w:rsidP="0096404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404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96404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6404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64048" w:rsidRPr="00964048" w:rsidRDefault="00964048" w:rsidP="0096404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4048">
        <w:rPr>
          <w:rFonts w:ascii="Times New Roman" w:eastAsia="Times New Roman" w:hAnsi="Times New Roman" w:cs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964048" w:rsidRPr="00964048" w:rsidRDefault="00964048" w:rsidP="0096404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64048" w:rsidRPr="00964048" w:rsidRDefault="00964048" w:rsidP="00964048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83595" w:rsidRPr="00255885" w:rsidRDefault="00F83595" w:rsidP="00F8359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55885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F83595" w:rsidRPr="00255885" w:rsidRDefault="00F83595" w:rsidP="00F8359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Бурлыкский</w:t>
      </w:r>
      <w:r w:rsidRPr="00255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</w:t>
      </w:r>
      <w:r w:rsidRPr="00255885">
        <w:rPr>
          <w:rFonts w:ascii="Times New Roman" w:hAnsi="Times New Roman" w:cs="Times New Roman"/>
          <w:sz w:val="28"/>
          <w:szCs w:val="28"/>
        </w:rPr>
        <w:t xml:space="preserve">совет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55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 Черепаха</w:t>
      </w:r>
    </w:p>
    <w:p w:rsidR="00964048" w:rsidRDefault="00964048" w:rsidP="0096404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595" w:rsidRDefault="00F83595" w:rsidP="0096404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595" w:rsidRPr="00964048" w:rsidRDefault="00F83595" w:rsidP="0096404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3595" w:rsidRDefault="00964048" w:rsidP="00F83595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64048">
        <w:rPr>
          <w:rFonts w:ascii="Times New Roman" w:eastAsia="Times New Roman" w:hAnsi="Times New Roman" w:cs="Times New Roman"/>
          <w:sz w:val="28"/>
          <w:szCs w:val="28"/>
        </w:rPr>
        <w:t>Разослано: админист</w:t>
      </w:r>
      <w:r w:rsidR="00F83595">
        <w:rPr>
          <w:rFonts w:ascii="Times New Roman" w:eastAsia="Times New Roman" w:hAnsi="Times New Roman" w:cs="Times New Roman"/>
          <w:sz w:val="28"/>
          <w:szCs w:val="28"/>
        </w:rPr>
        <w:t>рации района, прокурору, в дело</w:t>
      </w:r>
    </w:p>
    <w:p w:rsidR="00964048" w:rsidRPr="00964048" w:rsidRDefault="00964048" w:rsidP="00964048">
      <w:pPr>
        <w:widowControl w:val="0"/>
        <w:autoSpaceDE w:val="0"/>
        <w:autoSpaceDN w:val="0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964048" w:rsidRPr="00964048" w:rsidRDefault="00964048" w:rsidP="00964048">
      <w:pPr>
        <w:widowControl w:val="0"/>
        <w:autoSpaceDE w:val="0"/>
        <w:autoSpaceDN w:val="0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постановлению </w:t>
      </w:r>
    </w:p>
    <w:p w:rsidR="00964048" w:rsidRPr="00964048" w:rsidRDefault="00964048" w:rsidP="00964048">
      <w:pPr>
        <w:widowControl w:val="0"/>
        <w:autoSpaceDE w:val="0"/>
        <w:autoSpaceDN w:val="0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 сельсовета</w:t>
      </w:r>
    </w:p>
    <w:p w:rsidR="00964048" w:rsidRPr="00964048" w:rsidRDefault="00964048" w:rsidP="00964048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</w:t>
      </w:r>
      <w:r w:rsidR="002B5E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2B5EA9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F83595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.05.2026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</w:t>
      </w:r>
      <w:r w:rsidR="00F83595">
        <w:rPr>
          <w:rFonts w:ascii="Times New Roman" w:eastAsia="Times New Roman" w:hAnsi="Times New Roman" w:cs="Times New Roman"/>
          <w:sz w:val="28"/>
          <w:szCs w:val="28"/>
          <w:lang w:eastAsia="en-US"/>
        </w:rPr>
        <w:t>25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-п</w:t>
      </w:r>
    </w:p>
    <w:p w:rsidR="00964048" w:rsidRPr="00964048" w:rsidRDefault="00964048" w:rsidP="00964048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4048" w:rsidRPr="00F83595" w:rsidRDefault="00964048" w:rsidP="00964048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3595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</w:t>
      </w:r>
      <w:r w:rsidRPr="00F83595">
        <w:rPr>
          <w:rFonts w:ascii="Times New Roman" w:eastAsia="Times New Roman" w:hAnsi="Times New Roman" w:cs="Times New Roman"/>
          <w:sz w:val="28"/>
          <w:szCs w:val="28"/>
        </w:rPr>
        <w:br/>
        <w:t>предоставления муниципальной услуги</w:t>
      </w:r>
    </w:p>
    <w:p w:rsidR="00964048" w:rsidRPr="00F83595" w:rsidRDefault="00964048" w:rsidP="00964048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3595">
        <w:rPr>
          <w:rFonts w:ascii="Times New Roman" w:eastAsia="Times New Roman" w:hAnsi="Times New Roman" w:cs="Times New Roman"/>
          <w:sz w:val="28"/>
          <w:szCs w:val="28"/>
        </w:rPr>
        <w:t>«Выдача разрешений на право вырубки зеленых насаждений»</w:t>
      </w:r>
    </w:p>
    <w:p w:rsidR="00CA11AA" w:rsidRPr="00F83595" w:rsidRDefault="00CA11AA">
      <w:pPr>
        <w:pStyle w:val="1"/>
        <w:ind w:firstLine="0"/>
        <w:rPr>
          <w:rFonts w:ascii="TimesNewRoman" w:eastAsia="TimesNewRoman" w:hAnsi="TimesNewRoman" w:cs="TimesNewRoman"/>
          <w:b w:val="0"/>
          <w:color w:val="000000"/>
          <w:sz w:val="28"/>
          <w:highlight w:val="white"/>
        </w:rPr>
      </w:pPr>
    </w:p>
    <w:p w:rsidR="00CA11AA" w:rsidRPr="00F83595" w:rsidRDefault="00601C6B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I. Общие положения</w:t>
      </w:r>
    </w:p>
    <w:p w:rsidR="00CA11AA" w:rsidRPr="00F83595" w:rsidRDefault="00CA11AA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П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CA11AA" w:rsidRDefault="00CA11AA">
      <w:pPr>
        <w:pStyle w:val="af9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>
        <w:rPr>
          <w:color w:val="000000"/>
          <w:sz w:val="28"/>
          <w:highlight w:val="white"/>
        </w:rPr>
        <w:t>внутридворовых</w:t>
      </w:r>
      <w:proofErr w:type="spellEnd"/>
      <w:r>
        <w:rPr>
          <w:color w:val="000000"/>
          <w:sz w:val="28"/>
          <w:highlight w:val="white"/>
        </w:rPr>
        <w:t xml:space="preserve"> территорий);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proofErr w:type="gramStart"/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</w:t>
      </w:r>
      <w:proofErr w:type="gramEnd"/>
      <w:r>
        <w:rPr>
          <w:color w:val="000000"/>
          <w:sz w:val="28"/>
          <w:highlight w:val="white"/>
        </w:rPr>
        <w:t xml:space="preserve"> кладбищ.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CA11AA" w:rsidRDefault="00CA11AA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F83595" w:rsidRDefault="00F83595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color w:val="000000"/>
          <w:sz w:val="28"/>
        </w:rPr>
      </w:pPr>
    </w:p>
    <w:p w:rsidR="00CA11AA" w:rsidRPr="00F83595" w:rsidRDefault="00601C6B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color w:val="000000"/>
          <w:sz w:val="28"/>
        </w:rPr>
      </w:pPr>
      <w:r w:rsidRPr="00F83595">
        <w:rPr>
          <w:color w:val="000000"/>
          <w:sz w:val="28"/>
        </w:rPr>
        <w:lastRenderedPageBreak/>
        <w:t>К</w:t>
      </w:r>
      <w:r w:rsidRPr="00F83595">
        <w:rPr>
          <w:color w:val="000000"/>
          <w:sz w:val="28"/>
          <w:highlight w:val="white"/>
        </w:rPr>
        <w:t>руг заявителей</w:t>
      </w:r>
    </w:p>
    <w:p w:rsidR="00CA11AA" w:rsidRPr="00F83595" w:rsidRDefault="00CA11AA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CA11AA" w:rsidRPr="00F83595" w:rsidRDefault="00601C6B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2. Услуга (перечень условных обозначений и сокращений приведен в 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П</w:t>
      </w:r>
      <w:proofErr w:type="gramEnd"/>
      <w:r w:rsidRPr="00F83595">
        <w:fldChar w:fldCharType="begin"/>
      </w:r>
      <w:r w:rsidRPr="00F83595">
        <w:instrText xml:space="preserve"> HYPERLINK "https://internet.garant.ru/" \l "/document/412265536/entry/1100" \h </w:instrText>
      </w:r>
      <w:r w:rsidRPr="00F83595">
        <w:fldChar w:fldCharType="separate"/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риложении 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fldChar w:fldCharType="end"/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CA11AA" w:rsidRPr="00F83595" w:rsidRDefault="00601C6B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CA11AA" w:rsidRPr="00F83595" w:rsidRDefault="00CA11AA">
      <w:pPr>
        <w:pStyle w:val="af9"/>
        <w:rPr>
          <w:rFonts w:ascii="TimesNewRoman" w:eastAsia="TimesNewRoman" w:hAnsi="TimesNewRoman" w:cs="TimesNewRoman"/>
          <w:color w:val="000000"/>
          <w:sz w:val="28"/>
        </w:rPr>
      </w:pPr>
    </w:p>
    <w:p w:rsidR="00CA11AA" w:rsidRPr="00F83595" w:rsidRDefault="00601C6B">
      <w:pPr>
        <w:pStyle w:val="af9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CA11AA" w:rsidRPr="00F83595" w:rsidRDefault="00CA11AA">
      <w:pPr>
        <w:pStyle w:val="af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Style w:val="af9"/>
        <w:tabs>
          <w:tab w:val="left" w:pos="850"/>
        </w:tabs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CA11AA" w:rsidRPr="00F83595" w:rsidRDefault="00CA11AA">
      <w:pPr>
        <w:pStyle w:val="af9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Style w:val="1"/>
        <w:ind w:firstLine="0"/>
        <w:rPr>
          <w:rFonts w:ascii="TimesNewRoman" w:eastAsia="TimesNewRoman" w:hAnsi="TimesNewRoman" w:cs="TimesNewRoman"/>
          <w:b w:val="0"/>
          <w:color w:val="000000"/>
          <w:sz w:val="28"/>
          <w:highlight w:val="white"/>
        </w:rPr>
      </w:pPr>
      <w:bookmarkStart w:id="2" w:name="sub_2002"/>
      <w:r w:rsidRPr="00F83595">
        <w:rPr>
          <w:rFonts w:ascii="TimesNewRoman" w:eastAsia="TimesNewRoman" w:hAnsi="TimesNewRoman" w:cs="TimesNewRoman"/>
          <w:b w:val="0"/>
          <w:color w:val="000000"/>
          <w:sz w:val="28"/>
          <w:highlight w:val="white"/>
        </w:rPr>
        <w:t>II. Стандарт предоставления Услуги</w:t>
      </w:r>
    </w:p>
    <w:p w:rsidR="00CA11AA" w:rsidRPr="00F83595" w:rsidRDefault="00CA11AA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3" w:name="sub_2021"/>
      <w:bookmarkEnd w:id="2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Наименование Услуги</w:t>
      </w: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4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4" w:name="sub_2022"/>
      <w:bookmarkEnd w:id="3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4"/>
    <w:p w:rsidR="00CA11AA" w:rsidRPr="00F83595" w:rsidRDefault="00CA11AA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CA11AA" w:rsidRPr="00F83595" w:rsidRDefault="00CA11AA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 w:rsidP="00964048">
      <w:pPr>
        <w:pStyle w:val="af9"/>
        <w:ind w:firstLine="567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5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Муниципальная услуга предоставляется уполномоченным органом </w:t>
      </w:r>
      <w:r w:rsidR="00964048" w:rsidRPr="00F83595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администрацией муниципального образования </w:t>
      </w:r>
      <w:r w:rsidR="00F83595">
        <w:rPr>
          <w:rFonts w:ascii="Times New Roman" w:eastAsia="Times New Roman" w:hAnsi="Times New Roman" w:cs="Calibri"/>
          <w:color w:val="000000"/>
          <w:sz w:val="28"/>
          <w:szCs w:val="28"/>
        </w:rPr>
        <w:t>Бурлыкский</w:t>
      </w:r>
      <w:r w:rsidR="00964048" w:rsidRPr="00F83595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964048" w:rsidRPr="00F83595" w:rsidRDefault="00964048" w:rsidP="00964048">
      <w:pPr>
        <w:pStyle w:val="af9"/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5" w:name="sub_2023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Результат предоставления Услуги</w:t>
      </w:r>
      <w:bookmarkEnd w:id="5"/>
    </w:p>
    <w:p w:rsidR="00CA11AA" w:rsidRPr="00F83595" w:rsidRDefault="00CA11AA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 w:rsidRPr="00F83595">
        <w:rPr>
          <w:color w:val="000000"/>
          <w:sz w:val="28"/>
        </w:rPr>
        <w:t>6</w:t>
      </w:r>
      <w:r w:rsidRPr="00F83595">
        <w:rPr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CA11AA" w:rsidRPr="00F83595" w:rsidRDefault="00601C6B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CA11AA" w:rsidRPr="00F83595" w:rsidRDefault="00601C6B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CA11AA" w:rsidRPr="00F83595" w:rsidRDefault="00601C6B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7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 w:rsidRPr="00F83595">
        <w:rPr>
          <w:rFonts w:ascii="TimesNewRoman" w:eastAsia="TimesNewRoman" w:hAnsi="TimesNewRoman" w:cs="TimesNewRoman"/>
          <w:color w:val="000000"/>
          <w:sz w:val="28"/>
        </w:rPr>
        <w:t>.</w:t>
      </w:r>
    </w:p>
    <w:p w:rsidR="00CA11AA" w:rsidRPr="00F83595" w:rsidRDefault="00601C6B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(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у</w:t>
      </w:r>
      <w:proofErr w:type="gramEnd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казать информационную систему). </w:t>
      </w:r>
    </w:p>
    <w:p w:rsidR="00CA11AA" w:rsidRPr="00F83595" w:rsidRDefault="00601C6B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 w:rsidRPr="00F83595">
        <w:rPr>
          <w:color w:val="000000"/>
          <w:sz w:val="28"/>
        </w:rPr>
        <w:t>8</w:t>
      </w:r>
      <w:r w:rsidRPr="00F83595">
        <w:rPr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CA11AA" w:rsidRPr="00F83595" w:rsidRDefault="00601C6B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 w:rsidRPr="00F83595">
        <w:rPr>
          <w:color w:val="000000"/>
          <w:sz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CA11AA" w:rsidRPr="00F83595" w:rsidRDefault="00601C6B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CA11AA" w:rsidRPr="00F83595" w:rsidRDefault="00601C6B">
      <w:pPr>
        <w:pStyle w:val="afa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 w:rsidRPr="00F83595">
        <w:rPr>
          <w:color w:val="000000"/>
          <w:sz w:val="28"/>
        </w:rPr>
        <w:t>9</w:t>
      </w:r>
      <w:r w:rsidRPr="00F83595">
        <w:rPr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Срок предоставления Услуги</w:t>
      </w: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10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 w:rsidRPr="00F83595">
        <w:rPr>
          <w:color w:val="000000"/>
          <w:sz w:val="28"/>
        </w:rPr>
        <w:t>15</w:t>
      </w:r>
      <w:r w:rsidRPr="00F83595"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CA11AA" w:rsidRPr="00F83595" w:rsidRDefault="00601C6B">
      <w:pPr>
        <w:pStyle w:val="afa"/>
        <w:spacing w:line="20" w:lineRule="atLeast"/>
        <w:ind w:left="0" w:firstLine="567"/>
        <w:rPr>
          <w:color w:val="000000"/>
          <w:sz w:val="28"/>
          <w:highlight w:val="white"/>
        </w:rPr>
      </w:pPr>
      <w:r w:rsidRPr="00F83595">
        <w:rPr>
          <w:color w:val="000000"/>
          <w:sz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CA11AA" w:rsidRPr="00F83595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 w:rsidRPr="00F83595">
        <w:rPr>
          <w:color w:val="000000"/>
          <w:sz w:val="28"/>
          <w:highlight w:val="white"/>
        </w:rPr>
        <w:t xml:space="preserve">17. Сведения о размере компенсационной стоимости размещаются на официальном сайте органа местного самоуправления и Едином </w:t>
      </w:r>
      <w:r w:rsidRPr="00F83595">
        <w:rPr>
          <w:color w:val="000000"/>
          <w:sz w:val="28"/>
        </w:rPr>
        <w:t>п</w:t>
      </w:r>
      <w:r w:rsidRPr="00F83595">
        <w:rPr>
          <w:color w:val="000000"/>
          <w:sz w:val="28"/>
          <w:highlight w:val="white"/>
        </w:rPr>
        <w:t>ортале.</w:t>
      </w:r>
    </w:p>
    <w:p w:rsidR="00CA11AA" w:rsidRPr="00F83595" w:rsidRDefault="00CA11AA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CA11AA" w:rsidRPr="00F83595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 w:rsidRPr="00F83595">
        <w:rPr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CA11AA" w:rsidRPr="00F83595" w:rsidRDefault="00CA11AA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CA11AA" w:rsidRPr="00F83595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 w:rsidRPr="00F83595">
        <w:rPr>
          <w:color w:val="000000"/>
          <w:sz w:val="28"/>
        </w:rPr>
        <w:t xml:space="preserve">Максимальный срок ожидания в очереди при подаче запроса (заявления) и документов, необходимых для предоставления Услуги или </w:t>
      </w:r>
      <w:r w:rsidRPr="00F83595">
        <w:rPr>
          <w:color w:val="000000"/>
          <w:sz w:val="28"/>
        </w:rPr>
        <w:lastRenderedPageBreak/>
        <w:t>получения результата предоставления Услуги, не должен составлять более 15 минут.</w:t>
      </w:r>
    </w:p>
    <w:p w:rsidR="00CA11AA" w:rsidRPr="00F83595" w:rsidRDefault="00CA11AA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CA11AA" w:rsidRPr="00F83595" w:rsidRDefault="00601C6B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Style w:val="afa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 w:rsidRPr="00F83595">
        <w:rPr>
          <w:color w:val="000000"/>
          <w:sz w:val="28"/>
        </w:rPr>
        <w:t>18</w:t>
      </w:r>
      <w:r w:rsidRPr="00F83595">
        <w:rPr>
          <w:color w:val="000000"/>
          <w:sz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CA11AA" w:rsidRPr="00F83595" w:rsidRDefault="00601C6B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 w:rsidRPr="00F83595">
        <w:rPr>
          <w:color w:val="000000"/>
          <w:sz w:val="28"/>
        </w:rPr>
        <w:t>19</w:t>
      </w:r>
      <w:r w:rsidRPr="00F83595"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 w:rsidRPr="00F83595">
        <w:rPr>
          <w:color w:val="000000"/>
          <w:sz w:val="28"/>
        </w:rPr>
        <w:t xml:space="preserve"> п</w:t>
      </w:r>
      <w:r w:rsidRPr="00F83595"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CA11AA" w:rsidRPr="00F83595" w:rsidRDefault="00601C6B">
      <w:pPr>
        <w:pStyle w:val="afa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 w:rsidRPr="00F83595">
        <w:rPr>
          <w:color w:val="000000"/>
          <w:sz w:val="28"/>
        </w:rPr>
        <w:t>20</w:t>
      </w:r>
      <w:r w:rsidRPr="00F83595"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 w:rsidRPr="00F83595">
        <w:rPr>
          <w:color w:val="000000"/>
          <w:sz w:val="28"/>
        </w:rPr>
        <w:t xml:space="preserve"> п</w:t>
      </w:r>
      <w:r w:rsidRPr="00F83595"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CA11AA" w:rsidRPr="00F83595" w:rsidRDefault="00CA11AA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</w:p>
    <w:p w:rsidR="00CA11AA" w:rsidRPr="00F83595" w:rsidRDefault="00601C6B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Требования к помещениям,</w:t>
      </w:r>
    </w:p>
    <w:p w:rsidR="00CA11AA" w:rsidRPr="00F83595" w:rsidRDefault="00601C6B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в 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которых</w:t>
      </w:r>
      <w:proofErr w:type="gramEnd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предоставляется муниципальная услуга</w:t>
      </w:r>
    </w:p>
    <w:p w:rsidR="00CA11AA" w:rsidRPr="00F83595" w:rsidRDefault="00CA11A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21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CA11AA" w:rsidRPr="00F83595" w:rsidRDefault="00CA11AA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Показатели качества и доступности Услуги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22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CA11AA" w:rsidRPr="00F83595" w:rsidRDefault="00CA11AA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Иные требования к предоставлению муниципальной услуги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 w:rsidRPr="00F83595">
        <w:rPr>
          <w:color w:val="000000"/>
          <w:sz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CA11AA" w:rsidRPr="00F83595" w:rsidRDefault="00601C6B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 w:rsidRPr="00F83595">
        <w:rPr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CA11AA" w:rsidRPr="00F83595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 w:rsidRPr="00F83595">
        <w:rPr>
          <w:color w:val="000000"/>
          <w:sz w:val="28"/>
          <w:highlight w:val="white"/>
        </w:rPr>
        <w:t xml:space="preserve"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</w:t>
      </w:r>
      <w:r w:rsidRPr="00F83595">
        <w:rPr>
          <w:color w:val="000000"/>
          <w:sz w:val="28"/>
          <w:highlight w:val="white"/>
        </w:rPr>
        <w:lastRenderedPageBreak/>
        <w:t>содержание электронных документов, направленных в МФЦ по результатам предоставления Услуги уполномоченным органом.</w:t>
      </w:r>
    </w:p>
    <w:p w:rsidR="00CA11AA" w:rsidRPr="00F83595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 w:rsidRPr="00F83595">
        <w:rPr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CA11AA" w:rsidRPr="00F83595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 w:rsidRPr="00F83595">
        <w:rPr>
          <w:color w:val="000000"/>
          <w:sz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26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27. 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CA11AA" w:rsidRPr="00F83595" w:rsidRDefault="00601C6B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8"/>
          <w:highlight w:val="white"/>
        </w:rPr>
      </w:pPr>
      <w:r w:rsidRPr="00F83595">
        <w:rPr>
          <w:color w:val="000000"/>
          <w:sz w:val="28"/>
        </w:rPr>
        <w:t>11</w:t>
      </w:r>
      <w:r w:rsidRPr="00F83595">
        <w:rPr>
          <w:color w:val="000000"/>
          <w:sz w:val="28"/>
          <w:highlight w:val="white"/>
        </w:rPr>
        <w:t>.</w:t>
      </w:r>
      <w:r w:rsidRPr="00F83595">
        <w:rPr>
          <w:color w:val="000000"/>
          <w:sz w:val="28"/>
        </w:rPr>
        <w:t xml:space="preserve"> </w:t>
      </w:r>
      <w:r w:rsidRPr="00F83595">
        <w:rPr>
          <w:color w:val="000000"/>
          <w:sz w:val="28"/>
          <w:highlight w:val="white"/>
        </w:rPr>
        <w:t>Перечень основания для отказа в приеме заявлений и документов:</w:t>
      </w: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</w:rPr>
        <w:lastRenderedPageBreak/>
        <w:t>-</w:t>
      </w:r>
      <w:r w:rsidRPr="00F83595"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</w:rPr>
        <w:t>-</w:t>
      </w:r>
      <w:r w:rsidRPr="00F83595">
        <w:rPr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</w:rPr>
        <w:t>-</w:t>
      </w:r>
      <w:r w:rsidRPr="00F83595"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</w:rPr>
        <w:t>-</w:t>
      </w:r>
      <w:r w:rsidRPr="00F83595"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</w:rPr>
        <w:t>-</w:t>
      </w:r>
      <w:r w:rsidRPr="00F83595"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</w:rPr>
        <w:t>12</w:t>
      </w:r>
      <w:r w:rsidRPr="00F83595">
        <w:rPr>
          <w:color w:val="000000"/>
          <w:sz w:val="28"/>
          <w:highlight w:val="white"/>
        </w:rPr>
        <w:t>.</w:t>
      </w:r>
      <w:r w:rsidRPr="00F83595">
        <w:rPr>
          <w:color w:val="000000"/>
          <w:sz w:val="28"/>
        </w:rPr>
        <w:t xml:space="preserve"> </w:t>
      </w:r>
      <w:r w:rsidRPr="00F83595">
        <w:rPr>
          <w:color w:val="000000"/>
          <w:sz w:val="28"/>
          <w:highlight w:val="white"/>
        </w:rPr>
        <w:t>Представление неполного комплекта документов, необходимых для предоставления муниципальной услуги</w:t>
      </w:r>
      <w:r w:rsidRPr="00F83595">
        <w:rPr>
          <w:color w:val="000000"/>
          <w:sz w:val="28"/>
        </w:rPr>
        <w:t>.</w:t>
      </w:r>
    </w:p>
    <w:p w:rsidR="00CA11AA" w:rsidRPr="00F83595" w:rsidRDefault="00601C6B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  <w:r w:rsidRPr="00F83595">
        <w:rPr>
          <w:color w:val="000000"/>
          <w:sz w:val="28"/>
          <w:highlight w:val="white"/>
        </w:rPr>
        <w:tab/>
        <w:t>13.</w:t>
      </w:r>
      <w:r w:rsidRPr="00F83595">
        <w:rPr>
          <w:color w:val="000000"/>
          <w:sz w:val="28"/>
        </w:rPr>
        <w:t xml:space="preserve"> </w:t>
      </w:r>
      <w:r w:rsidRPr="00F83595">
        <w:rPr>
          <w:color w:val="000000"/>
          <w:sz w:val="28"/>
          <w:highlight w:val="white"/>
        </w:rPr>
        <w:t>Основания для приостановления предоставления муниципальной услуги отсутствуют.</w:t>
      </w:r>
    </w:p>
    <w:p w:rsidR="00CA11AA" w:rsidRPr="00F83595" w:rsidRDefault="00601C6B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</w:rPr>
        <w:t>14</w:t>
      </w:r>
      <w:r w:rsidRPr="00F83595"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t xml:space="preserve">- </w:t>
      </w:r>
      <w:r w:rsidRPr="00F83595">
        <w:rPr>
          <w:color w:val="000000"/>
          <w:sz w:val="28"/>
        </w:rPr>
        <w:t xml:space="preserve"> </w:t>
      </w:r>
      <w:r w:rsidRPr="00F83595">
        <w:rPr>
          <w:color w:val="000000"/>
          <w:sz w:val="28"/>
          <w:highlight w:val="white"/>
        </w:rPr>
        <w:t>Наличие противоречивых сведений в Заявлении и приложенных к нему документах;</w:t>
      </w: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t>-</w:t>
      </w:r>
      <w:r w:rsidRPr="00F83595">
        <w:rPr>
          <w:color w:val="000000"/>
          <w:sz w:val="28"/>
        </w:rPr>
        <w:t xml:space="preserve">  </w:t>
      </w:r>
      <w:r w:rsidRPr="00F83595">
        <w:rPr>
          <w:color w:val="000000"/>
          <w:sz w:val="28"/>
          <w:highlight w:val="white"/>
        </w:rPr>
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</w:t>
      </w:r>
      <w:proofErr w:type="gramStart"/>
      <w:r w:rsidRPr="00F83595">
        <w:rPr>
          <w:color w:val="000000"/>
          <w:sz w:val="28"/>
          <w:highlight w:val="white"/>
        </w:rPr>
        <w:t>взаимодействия</w:t>
      </w:r>
      <w:proofErr w:type="gramEnd"/>
      <w:r w:rsidRPr="00F83595">
        <w:rPr>
          <w:color w:val="000000"/>
          <w:sz w:val="28"/>
          <w:highlight w:val="white"/>
        </w:rPr>
        <w:t xml:space="preserve"> в том числе посредством СМЭВ;</w:t>
      </w: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t>-  Выявление возможности сохранения зеленых насаждений;</w:t>
      </w:r>
    </w:p>
    <w:p w:rsidR="00CA11AA" w:rsidRPr="00F83595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-  Запрос подан неуполномоченным лицом.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Style w:val="afa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 w:rsidRPr="00F83595">
        <w:rPr>
          <w:color w:val="000000"/>
          <w:sz w:val="28"/>
        </w:rPr>
        <w:t>29</w:t>
      </w:r>
      <w:r w:rsidRPr="00F83595">
        <w:rPr>
          <w:color w:val="000000"/>
          <w:sz w:val="28"/>
          <w:highlight w:val="white"/>
        </w:rPr>
        <w:t>.</w:t>
      </w:r>
      <w:r w:rsidRPr="00F83595">
        <w:rPr>
          <w:color w:val="000000"/>
          <w:sz w:val="28"/>
        </w:rPr>
        <w:t xml:space="preserve"> </w:t>
      </w:r>
      <w:r w:rsidRPr="00F83595">
        <w:rPr>
          <w:color w:val="000000"/>
          <w:sz w:val="28"/>
          <w:highlight w:val="white"/>
        </w:rPr>
        <w:t>Предоставление муниципальной услуги включает в себя следующие административные процедуры:</w:t>
      </w:r>
    </w:p>
    <w:p w:rsidR="00CA11AA" w:rsidRPr="00F83595" w:rsidRDefault="00601C6B">
      <w:pPr>
        <w:pStyle w:val="aff2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CA11AA" w:rsidRPr="00F83595" w:rsidRDefault="00601C6B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CA11AA" w:rsidRPr="00F83595" w:rsidRDefault="00601C6B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t>3) подготовка акта обследования;</w:t>
      </w:r>
    </w:p>
    <w:p w:rsidR="00CA11AA" w:rsidRPr="00F83595" w:rsidRDefault="00601C6B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CA11AA" w:rsidRPr="00F83595" w:rsidRDefault="00601C6B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CA11AA" w:rsidRPr="00F83595" w:rsidRDefault="00601C6B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 w:rsidRPr="00F83595">
        <w:rPr>
          <w:color w:val="000000"/>
          <w:sz w:val="28"/>
          <w:highlight w:val="white"/>
        </w:rPr>
        <w:lastRenderedPageBreak/>
        <w:t>6) принятие решения;</w:t>
      </w:r>
    </w:p>
    <w:p w:rsidR="00CA11AA" w:rsidRPr="00F83595" w:rsidRDefault="00601C6B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 w:rsidRPr="00F83595">
        <w:rPr>
          <w:color w:val="000000"/>
          <w:sz w:val="28"/>
          <w:highlight w:val="white"/>
        </w:rPr>
        <w:t>7) выдача результата.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30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а) посредством </w:t>
      </w:r>
      <w:hyperlink r:id="rId8">
        <w:r w:rsidRPr="00F83595"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б) посредством почтовой связи.</w:t>
      </w:r>
    </w:p>
    <w:p w:rsidR="00CA11AA" w:rsidRPr="00F83595" w:rsidRDefault="00601C6B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CA11AA" w:rsidRDefault="00CA11AA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F83595" w:rsidRPr="00F83595" w:rsidRDefault="00F8359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CA11AA" w:rsidRPr="00F83595" w:rsidRDefault="00601C6B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Приложение</w:t>
      </w:r>
    </w:p>
    <w:p w:rsidR="00CA11AA" w:rsidRPr="00F83595" w:rsidRDefault="00601C6B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к </w:t>
      </w:r>
      <w:hyperlink r:id="rId9" w:anchor="/document/412265536/entry/1000">
        <w:r w:rsidR="00F83595"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а</w:t>
        </w:r>
        <w:r w:rsidRPr="00F83595"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дминистративному   регламенту</w:t>
        </w:r>
      </w:hyperlink>
    </w:p>
    <w:p w:rsidR="00CA11AA" w:rsidRPr="00F83595" w:rsidRDefault="00601C6B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по предоставлению Услуги</w:t>
      </w:r>
    </w:p>
    <w:p w:rsidR="00CA11AA" w:rsidRPr="00F83595" w:rsidRDefault="00CA11AA">
      <w:pPr>
        <w:ind w:left="5528" w:firstLine="142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Перечень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br/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</w:t>
      </w:r>
      <w:proofErr w:type="spell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муниципальнойуслуги</w:t>
      </w:r>
      <w:proofErr w:type="spellEnd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, формы заявления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I. Перечень условных обозначений и сокращений</w:t>
      </w: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 w:rsidRPr="00F83595">
        <w:rPr>
          <w:rFonts w:ascii="Verdana" w:eastAsia="Verdana" w:hAnsi="Verdana" w:cs="Verdana"/>
          <w:color w:val="3A3A3A"/>
          <w:sz w:val="31"/>
          <w:highlight w:val="white"/>
        </w:rPr>
        <w:t>»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в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г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д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е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ж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) ЕСИА – Единая система идентификац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ии и ау</w:t>
      </w:r>
      <w:proofErr w:type="gramEnd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з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 ИС СИР СОУ ОО - система 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исполнения регламентов Информационной системы оказания услуг Оренбургской области</w:t>
      </w:r>
      <w:proofErr w:type="gramEnd"/>
      <w:r w:rsidRPr="00F83595"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и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lastRenderedPageBreak/>
        <w:t>к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л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м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б) 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П(</w:t>
      </w:r>
      <w:proofErr w:type="gramEnd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з) - представитель заявителя;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10">
        <w:r w:rsidRPr="00F83595"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д) О - представляется оригинал документа;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ж) 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О(</w:t>
      </w:r>
      <w:proofErr w:type="gramEnd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э) - представляется оригинал документа в электронной форме;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з) 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К</w:t>
      </w:r>
      <w:proofErr w:type="gramEnd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- представляется копия документа;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и) 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К(</w:t>
      </w:r>
      <w:proofErr w:type="gramEnd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э) - представляется копия документа в электронной форме.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6040"/>
        <w:gridCol w:w="3178"/>
      </w:tblGrid>
      <w:tr w:rsidR="00CA11AA" w:rsidRPr="00F83595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CA11AA" w:rsidRPr="00F83595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pStyle w:val="af0"/>
              <w:ind w:firstLine="0"/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pStyle w:val="af0"/>
              <w:ind w:firstLine="0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CA11AA" w:rsidRPr="00F8359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</w:p>
        </w:tc>
      </w:tr>
      <w:tr w:rsidR="00CA11AA" w:rsidRPr="00F8359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Услуги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CA11AA" w:rsidRPr="00F8359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Идентификаторы катего</w:t>
            </w: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Способы подачи документов, требования к </w:t>
            </w: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Требования к предоставлению документов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,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</w:t>
            </w: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Требования к формату документов 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случаев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подачи в </w:t>
            </w: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электронной форме </w:t>
            </w:r>
          </w:p>
        </w:tc>
      </w:tr>
      <w:tr w:rsidR="00CA11AA" w:rsidRPr="00F83595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CA11AA" w:rsidRPr="00F83595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О(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1">
              <w:r w:rsidRPr="00F83595"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представляются в следующих форматах:</w:t>
            </w:r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а)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xml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формализованных документов;</w:t>
            </w:r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б)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docx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odt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в)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xlsx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ods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документов, содержащих расчеты;</w:t>
            </w:r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г)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pdf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jpg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jpeg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в том числе включающих формулы и (или) </w:t>
            </w: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dpi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(масштаб 1:1) с использованием следующих режимов:</w:t>
            </w:r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- «оттенки серого» (при наличии в документе графических изображений, </w:t>
            </w: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отличных от цветного графического изображения);</w:t>
            </w:r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CA11AA" w:rsidRPr="00F83595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2">
              <w:r w:rsidRPr="00F83595"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CA11AA" w:rsidRPr="00F8359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3">
              <w:r w:rsidRPr="00F83595"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П(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CA11AA" w:rsidRPr="00F83595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>дендроплан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4">
              <w:r w:rsidRPr="00F83595"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CA11AA" w:rsidRPr="00F83595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документ, с указанием кадастрового номера земельного участка (при наличии) </w:t>
            </w: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>перечетная</w:t>
            </w:r>
            <w:proofErr w:type="spell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ведомость зеленых насаждений)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К(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5">
              <w:r w:rsidRPr="00F83595"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CA11AA" w:rsidRPr="00F83595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6">
              <w:r w:rsidRPr="00F83595"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CA11AA" w:rsidRPr="00F83595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7">
              <w:r w:rsidRPr="00F83595"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CA11AA" w:rsidRPr="00F83595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94" w:lineRule="auto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Исчерпывающий перечень документов, необходимых в соответствии с </w:t>
            </w: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A11AA" w:rsidRPr="00F8359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8">
              <w:r w:rsidRPr="00F83595"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pStyle w:val="af2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CA11AA" w:rsidRPr="00F8359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9">
              <w:r w:rsidRPr="00F83595"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CA11AA" w:rsidRPr="00F83595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20">
              <w:r w:rsidRPr="00F83595"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CA11AA" w:rsidRPr="00F83595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CA11AA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 w:rsidRPr="00F83595">
        <w:rPr>
          <w:rFonts w:ascii="TimesNewRoman" w:eastAsia="TimesNewRoman" w:hAnsi="TimesNewRoman" w:cs="TimesNewRoman"/>
          <w:color w:val="000000"/>
          <w:sz w:val="28"/>
        </w:rPr>
        <w:t xml:space="preserve"> 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3</w:t>
      </w: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3827"/>
      </w:tblGrid>
      <w:tr w:rsidR="00CA11AA" w:rsidRPr="00F835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CA11AA" w:rsidRPr="00F83595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необходимых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для предоставления Услуги</w:t>
            </w:r>
          </w:p>
        </w:tc>
      </w:tr>
      <w:tr w:rsidR="00CA11AA" w:rsidRPr="00F835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</w:tc>
      </w:tr>
      <w:tr w:rsidR="00CA11AA" w:rsidRPr="00F8359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Pr="00F83595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Pr="00F83595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Pr="00F83595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Pr="00F83595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Pr="00F83595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 w:rsidRPr="00F83595"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Pr="00F83595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CA11AA" w:rsidRPr="00F835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</w:t>
            </w:r>
          </w:p>
        </w:tc>
      </w:tr>
      <w:tr w:rsidR="00CA11AA" w:rsidRPr="00F83595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CA11AA" w:rsidRPr="00F835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Pr="00F83595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взаимодействия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Pr="00F83595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Pr="00F83595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</w:t>
            </w:r>
            <w:proofErr w:type="spell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Федерациию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Pr="00F83595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Pr="00F83595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 w:rsidP="00F83595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color w:val="000000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V. </w:t>
      </w:r>
      <w:bookmarkStart w:id="6" w:name="undefined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CA11AA" w:rsidRPr="00F83595" w:rsidRDefault="00601C6B" w:rsidP="00F83595">
      <w:pPr>
        <w:pStyle w:val="aff2"/>
        <w:spacing w:before="76"/>
        <w:ind w:left="0" w:firstLine="7655"/>
        <w:contextualSpacing/>
        <w:rPr>
          <w:color w:val="000000"/>
          <w:sz w:val="28"/>
          <w:highlight w:val="white"/>
        </w:rPr>
      </w:pPr>
      <w:r w:rsidRPr="00F83595">
        <w:rPr>
          <w:color w:val="000000"/>
          <w:sz w:val="28"/>
          <w:highlight w:val="white"/>
        </w:rPr>
        <w:lastRenderedPageBreak/>
        <w:t xml:space="preserve">Форма № 1 </w:t>
      </w:r>
    </w:p>
    <w:p w:rsidR="00CA11AA" w:rsidRPr="00F83595" w:rsidRDefault="00601C6B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4A0" w:firstRow="1" w:lastRow="0" w:firstColumn="1" w:lastColumn="0" w:noHBand="0" w:noVBand="1"/>
      </w:tblPr>
      <w:tblGrid>
        <w:gridCol w:w="2836"/>
        <w:gridCol w:w="6911"/>
      </w:tblGrid>
      <w:tr w:rsidR="00CA11AA" w:rsidRPr="00F83595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(наименование уполномоченного органа местного самоуправления)</w:t>
            </w: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ab/>
            </w:r>
          </w:p>
        </w:tc>
      </w:tr>
    </w:tbl>
    <w:p w:rsidR="00CA11AA" w:rsidRPr="00F83595" w:rsidRDefault="00CA11AA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216"/>
        <w:gridCol w:w="1806"/>
      </w:tblGrid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Данные </w:t>
            </w: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Pr="00F83595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Pr="00F83595" w:rsidRDefault="00CA11AA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Pr="00F83595" w:rsidRDefault="00F8359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Style w:val="aff2"/>
        <w:ind w:left="0" w:firstLine="0"/>
        <w:contextualSpacing/>
        <w:jc w:val="right"/>
        <w:rPr>
          <w:color w:val="000000"/>
          <w:sz w:val="28"/>
        </w:rPr>
      </w:pPr>
      <w:r w:rsidRPr="00F83595">
        <w:rPr>
          <w:color w:val="000000"/>
          <w:sz w:val="28"/>
          <w:highlight w:val="white"/>
        </w:rPr>
        <w:lastRenderedPageBreak/>
        <w:t>Форма № 2</w:t>
      </w:r>
    </w:p>
    <w:p w:rsidR="00CA11AA" w:rsidRPr="00F83595" w:rsidRDefault="00CA11AA">
      <w:pPr>
        <w:pStyle w:val="aff2"/>
        <w:ind w:left="0" w:firstLine="0"/>
        <w:contextualSpacing/>
        <w:jc w:val="right"/>
        <w:rPr>
          <w:color w:val="000000"/>
          <w:sz w:val="28"/>
        </w:rPr>
      </w:pPr>
    </w:p>
    <w:p w:rsidR="00CA11AA" w:rsidRPr="00F83595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ЗАЯВЛЕНИЕ </w:t>
      </w:r>
    </w:p>
    <w:p w:rsidR="00CA11AA" w:rsidRPr="00F83595" w:rsidRDefault="00601C6B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CA11AA" w:rsidRPr="00F83595" w:rsidRDefault="00CA11AA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6"/>
        <w:gridCol w:w="5211"/>
      </w:tblGrid>
      <w:tr w:rsidR="00CA11AA" w:rsidRPr="00F83595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601C6B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CA11AA" w:rsidRPr="00F83595" w:rsidRDefault="00601C6B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CA11AA" w:rsidRPr="00F83595" w:rsidRDefault="00CA11AA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CA11AA" w:rsidRPr="00F83595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Pr="00F83595" w:rsidRDefault="00601C6B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Приложения:</w:t>
            </w:r>
          </w:p>
          <w:p w:rsidR="00CA11AA" w:rsidRPr="00F83595" w:rsidRDefault="00CA11AA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56"/>
        <w:gridCol w:w="4824"/>
      </w:tblGrid>
      <w:tr w:rsidR="00CA11AA" w:rsidRPr="00F83595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A11AA" w:rsidRPr="00F83595" w:rsidRDefault="00601C6B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CA11AA" w:rsidRPr="00F83595" w:rsidRDefault="00601C6B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.Г</w:t>
            </w:r>
            <w:proofErr w:type="gramEnd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A11AA" w:rsidRPr="00F83595" w:rsidRDefault="00601C6B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Форма № 3</w:t>
      </w:r>
    </w:p>
    <w:p w:rsidR="00CA11AA" w:rsidRPr="00F83595" w:rsidRDefault="00601C6B">
      <w:pPr>
        <w:pStyle w:val="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CA11AA" w:rsidRPr="00F83595" w:rsidRDefault="00CA11AA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 w:rsidR="00CA11AA" w:rsidRPr="00F83595" w:rsidRDefault="00601C6B">
      <w:pPr>
        <w:ind w:left="6096" w:firstLine="0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CA11AA" w:rsidRPr="00F83595" w:rsidRDefault="00CA11AA">
      <w:pPr>
        <w:ind w:left="6096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CA11AA" w:rsidRPr="00F83595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F83595" w:rsidRDefault="00601C6B">
            <w:pPr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F83595" w:rsidRDefault="00601C6B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</w:t>
            </w:r>
            <w:proofErr w:type="gramStart"/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__________________(фамилия, имя, отчество - для граждан и индивидуальных предпринимателей, или полное наименование </w:t>
            </w: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  <w:proofErr w:type="gramEnd"/>
          </w:p>
        </w:tc>
      </w:tr>
      <w:tr w:rsidR="00CA11AA" w:rsidRPr="00F83595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F83595" w:rsidRDefault="00601C6B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F83595" w:rsidRDefault="00601C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_______________(</w:t>
            </w: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CA11AA" w:rsidRPr="00F83595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Pr="00F83595" w:rsidRDefault="00CA11AA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</w:t>
      </w:r>
    </w:p>
    <w:p w:rsidR="00CA11AA" w:rsidRPr="00F83595" w:rsidRDefault="00601C6B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855"/>
        <w:gridCol w:w="2438"/>
      </w:tblGrid>
      <w:tr w:rsidR="00CA11AA" w:rsidRPr="00F83595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A11AA" w:rsidRPr="00F83595" w:rsidRDefault="00CA11AA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A11AA" w:rsidRPr="00F83595" w:rsidRDefault="00CA11AA">
            <w:pPr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A11AA" w:rsidRPr="00F83595" w:rsidRDefault="00CA11AA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 w:rsidRPr="00F83595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601C6B">
            <w:pPr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CA11AA" w:rsidRPr="00F83595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Pr="00F83595" w:rsidRDefault="00CA11AA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Pr="00F83595" w:rsidRDefault="00601C6B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запроса </w:t>
      </w: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основании </w:t>
      </w: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на земельном участке</w:t>
      </w: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 кадастровым номером </w:t>
      </w: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срок 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до</w:t>
      </w:r>
      <w:proofErr w:type="gramEnd"/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CA11AA" w:rsidRPr="00F83595" w:rsidRDefault="00601C6B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Приложение: схема участка с нанесением зеленых насаждений, подлежащих вырубке.</w:t>
      </w:r>
    </w:p>
    <w:p w:rsidR="00CA11AA" w:rsidRPr="00F83595" w:rsidRDefault="00CA11AA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Pr="00F83595" w:rsidRDefault="00601C6B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CA11AA" w:rsidRPr="00F83595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CA11AA" w:rsidRPr="00F83595" w:rsidRDefault="00601C6B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электронной</w:t>
            </w:r>
          </w:p>
          <w:p w:rsidR="00CA11AA" w:rsidRPr="00F83595" w:rsidRDefault="00601C6B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F83595" w:rsidRDefault="00F83595" w:rsidP="00F83595">
      <w:pPr>
        <w:pStyle w:val="aff2"/>
        <w:ind w:left="0" w:firstLine="0"/>
        <w:contextualSpacing/>
        <w:jc w:val="center"/>
        <w:rPr>
          <w:color w:val="000000"/>
          <w:sz w:val="28"/>
          <w:highlight w:val="white"/>
        </w:rPr>
      </w:pPr>
    </w:p>
    <w:p w:rsidR="00CA11AA" w:rsidRPr="00F83595" w:rsidRDefault="00601C6B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  <w:r w:rsidRPr="00F83595">
        <w:rPr>
          <w:color w:val="000000"/>
          <w:sz w:val="28"/>
          <w:highlight w:val="white"/>
        </w:rPr>
        <w:t>Фо</w:t>
      </w:r>
      <w:bookmarkStart w:id="7" w:name="_GoBack"/>
      <w:bookmarkEnd w:id="7"/>
      <w:r w:rsidRPr="00F83595">
        <w:rPr>
          <w:color w:val="000000"/>
          <w:sz w:val="28"/>
          <w:highlight w:val="white"/>
        </w:rPr>
        <w:t xml:space="preserve">рма № </w:t>
      </w:r>
      <w:r w:rsidRPr="00F83595">
        <w:rPr>
          <w:color w:val="000000"/>
          <w:sz w:val="28"/>
        </w:rPr>
        <w:t>4</w:t>
      </w:r>
    </w:p>
    <w:p w:rsidR="00CA11AA" w:rsidRPr="00F83595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CA11AA" w:rsidRPr="00F83595" w:rsidRDefault="00601C6B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jc w:val="center"/>
        <w:outlineLvl w:val="2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br/>
      </w:r>
    </w:p>
    <w:p w:rsidR="00CA11AA" w:rsidRPr="00F83595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6"/>
        <w:gridCol w:w="4499"/>
      </w:tblGrid>
      <w:tr w:rsidR="00CA11AA" w:rsidRPr="00F83595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spacing w:after="160" w:line="259" w:lineRule="auto"/>
              <w:ind w:left="350"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</w:t>
            </w: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Ф.И.О. должность уполномоченного сотрудника</w:t>
            </w: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ind w:left="35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CA11AA" w:rsidRPr="00F83595" w:rsidRDefault="00601C6B">
            <w:pPr>
              <w:ind w:left="35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электронной</w:t>
            </w:r>
          </w:p>
          <w:p w:rsidR="00CA11AA" w:rsidRPr="00F83595" w:rsidRDefault="00601C6B">
            <w:pPr>
              <w:ind w:left="35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F83595" w:rsidRPr="00F83595" w:rsidRDefault="00F83595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 xml:space="preserve">Форма № </w:t>
      </w:r>
      <w:r w:rsidRPr="00F83595"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CA11AA" w:rsidRPr="00F83595" w:rsidRDefault="00CA11AA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Style w:val="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6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CA11AA" w:rsidRPr="00F83595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F83595" w:rsidRDefault="00601C6B">
            <w:pPr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F83595" w:rsidRDefault="00601C6B">
            <w:pPr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____________________ (</w:t>
            </w: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CA11AA" w:rsidRPr="00F83595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F83595" w:rsidRDefault="00601C6B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Pr="00F83595" w:rsidRDefault="00601C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CA11AA" w:rsidRPr="00F83595" w:rsidRDefault="00CA11AA">
            <w:pP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CA11AA" w:rsidRPr="00F83595" w:rsidRDefault="00601C6B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CA11AA" w:rsidRPr="00F83595" w:rsidRDefault="00601C6B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CA11AA" w:rsidRPr="00F83595" w:rsidRDefault="00CA11AA">
      <w:pPr>
        <w:ind w:firstLine="0"/>
        <w:contextualSpacing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ind w:firstLine="0"/>
        <w:contextualSpacing/>
        <w:jc w:val="left"/>
        <w:rPr>
          <w:rFonts w:ascii="TimesNewRoman" w:eastAsia="TimesNewRoman" w:hAnsi="TimesNewRoman" w:cs="TimesNewRoman"/>
          <w:color w:val="000000"/>
          <w:sz w:val="28"/>
          <w:highlight w:val="white"/>
          <w:shd w:val="clear" w:color="auto" w:fill="FFFFFF"/>
        </w:rPr>
      </w:pPr>
    </w:p>
    <w:p w:rsidR="00CA11AA" w:rsidRPr="00F83595" w:rsidRDefault="00601C6B">
      <w:pPr>
        <w:spacing w:line="223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  <w:shd w:val="clear" w:color="auto" w:fill="FFFFFF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  <w:shd w:val="clear" w:color="auto" w:fill="FFFFFF"/>
        </w:rPr>
        <w:t>РЕШЕНИЕ</w:t>
      </w:r>
    </w:p>
    <w:p w:rsidR="00CA11AA" w:rsidRPr="00F83595" w:rsidRDefault="00601C6B">
      <w:pPr>
        <w:spacing w:line="223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br/>
        <w:t>об отказе в предоставлении услуги</w:t>
      </w:r>
    </w:p>
    <w:p w:rsidR="00CA11AA" w:rsidRPr="00F83595" w:rsidRDefault="00601C6B">
      <w:pPr>
        <w:spacing w:line="204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№ _____________/ от _______________</w:t>
      </w:r>
    </w:p>
    <w:p w:rsidR="00CA11AA" w:rsidRPr="00F83595" w:rsidRDefault="00601C6B">
      <w:pPr>
        <w:tabs>
          <w:tab w:val="left" w:pos="851"/>
        </w:tabs>
        <w:spacing w:line="204" w:lineRule="auto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(номер и дата решения)</w:t>
      </w:r>
    </w:p>
    <w:p w:rsidR="00CA11AA" w:rsidRPr="00F83595" w:rsidRDefault="00601C6B">
      <w:pPr>
        <w:pStyle w:val="af9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CA11AA" w:rsidRPr="00F83595" w:rsidRDefault="00601C6B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CA11AA" w:rsidRPr="00F83595" w:rsidRDefault="00601C6B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CA11AA" w:rsidRPr="00F83595" w:rsidRDefault="00601C6B">
      <w:pPr>
        <w:spacing w:line="223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CA11AA" w:rsidRPr="00F83595" w:rsidRDefault="00CA11AA">
      <w:pPr>
        <w:spacing w:line="223" w:lineRule="auto"/>
        <w:ind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CA11AA" w:rsidRPr="00F83595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spacing w:after="160"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Pr="00F83595" w:rsidRDefault="00601C6B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CA11AA" w:rsidRPr="00F83595" w:rsidRDefault="00601C6B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электронной</w:t>
            </w:r>
          </w:p>
          <w:p w:rsidR="00CA11AA" w:rsidRPr="00F83595" w:rsidRDefault="00601C6B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 w:rsidRPr="00F83595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CA11AA" w:rsidRPr="00F83595" w:rsidRDefault="002B5EA9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Форма № 6</w:t>
      </w:r>
    </w:p>
    <w:p w:rsidR="00CA11AA" w:rsidRPr="00F83595" w:rsidRDefault="00CA11AA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В орган местного самоуправления.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                   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</w:t>
      </w: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«О персональных данных».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 w:rsidRPr="00F83595"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CA11AA" w:rsidRPr="00F83595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CA11AA" w:rsidRPr="00F83595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 w:rsidRPr="00F83595"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sectPr w:rsidR="00CA11AA" w:rsidSect="002B5EA9">
      <w:headerReference w:type="default" r:id="rId21"/>
      <w:pgSz w:w="11900" w:h="1680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4D" w:rsidRDefault="0086774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86774D" w:rsidRDefault="0086774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4D" w:rsidRDefault="0086774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86774D" w:rsidRDefault="0086774D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AA" w:rsidRDefault="00CA11AA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382B"/>
    <w:multiLevelType w:val="hybridMultilevel"/>
    <w:tmpl w:val="240C6B16"/>
    <w:lvl w:ilvl="0" w:tplc="A6684F60">
      <w:start w:val="1"/>
      <w:numFmt w:val="bullet"/>
      <w:lvlText w:val="–"/>
      <w:lvlJc w:val="left"/>
      <w:pPr>
        <w:ind w:hanging="360"/>
      </w:pPr>
    </w:lvl>
    <w:lvl w:ilvl="1" w:tplc="A296E2C6">
      <w:start w:val="1"/>
      <w:numFmt w:val="bullet"/>
      <w:lvlText w:val="o"/>
      <w:lvlJc w:val="left"/>
      <w:pPr>
        <w:ind w:hanging="360"/>
      </w:pPr>
    </w:lvl>
    <w:lvl w:ilvl="2" w:tplc="81E6F760">
      <w:start w:val="1"/>
      <w:numFmt w:val="bullet"/>
      <w:lvlText w:val="§"/>
      <w:lvlJc w:val="left"/>
      <w:pPr>
        <w:ind w:hanging="360"/>
      </w:pPr>
    </w:lvl>
    <w:lvl w:ilvl="3" w:tplc="C61A4A58">
      <w:start w:val="1"/>
      <w:numFmt w:val="bullet"/>
      <w:lvlText w:val="·"/>
      <w:lvlJc w:val="left"/>
      <w:pPr>
        <w:ind w:hanging="360"/>
      </w:pPr>
    </w:lvl>
    <w:lvl w:ilvl="4" w:tplc="A36834FA">
      <w:start w:val="1"/>
      <w:numFmt w:val="bullet"/>
      <w:lvlText w:val="o"/>
      <w:lvlJc w:val="left"/>
      <w:pPr>
        <w:ind w:hanging="360"/>
      </w:pPr>
    </w:lvl>
    <w:lvl w:ilvl="5" w:tplc="DD9C30C4">
      <w:start w:val="1"/>
      <w:numFmt w:val="bullet"/>
      <w:lvlText w:val="§"/>
      <w:lvlJc w:val="left"/>
      <w:pPr>
        <w:ind w:hanging="360"/>
      </w:pPr>
    </w:lvl>
    <w:lvl w:ilvl="6" w:tplc="1C009880">
      <w:start w:val="1"/>
      <w:numFmt w:val="bullet"/>
      <w:lvlText w:val="·"/>
      <w:lvlJc w:val="left"/>
      <w:pPr>
        <w:ind w:hanging="360"/>
      </w:pPr>
    </w:lvl>
    <w:lvl w:ilvl="7" w:tplc="DF8C8A60">
      <w:start w:val="1"/>
      <w:numFmt w:val="bullet"/>
      <w:lvlText w:val="o"/>
      <w:lvlJc w:val="left"/>
      <w:pPr>
        <w:ind w:hanging="360"/>
      </w:pPr>
    </w:lvl>
    <w:lvl w:ilvl="8" w:tplc="FD543CB6">
      <w:start w:val="1"/>
      <w:numFmt w:val="bullet"/>
      <w:lvlText w:val="§"/>
      <w:lvlJc w:val="left"/>
      <w:pPr>
        <w:ind w:hanging="360"/>
      </w:pPr>
    </w:lvl>
  </w:abstractNum>
  <w:abstractNum w:abstractNumId="1">
    <w:nsid w:val="29432A0C"/>
    <w:multiLevelType w:val="hybridMultilevel"/>
    <w:tmpl w:val="B0042CE6"/>
    <w:lvl w:ilvl="0" w:tplc="BD3657F4">
      <w:start w:val="1"/>
      <w:numFmt w:val="bullet"/>
      <w:lvlText w:val="·"/>
      <w:lvlJc w:val="left"/>
      <w:pPr>
        <w:ind w:hanging="360"/>
      </w:pPr>
    </w:lvl>
    <w:lvl w:ilvl="1" w:tplc="88CEBFC8">
      <w:numFmt w:val="decimal"/>
      <w:lvlText w:val="o"/>
      <w:lvlJc w:val="left"/>
      <w:pPr>
        <w:ind w:left="0"/>
      </w:pPr>
    </w:lvl>
    <w:lvl w:ilvl="2" w:tplc="E8A244E2">
      <w:numFmt w:val="decimal"/>
      <w:lvlText w:val="§"/>
      <w:lvlJc w:val="left"/>
      <w:pPr>
        <w:ind w:left="0"/>
      </w:pPr>
    </w:lvl>
    <w:lvl w:ilvl="3" w:tplc="E8325040">
      <w:numFmt w:val="decimal"/>
      <w:lvlText w:val="·"/>
      <w:lvlJc w:val="left"/>
      <w:pPr>
        <w:ind w:left="0"/>
      </w:pPr>
    </w:lvl>
    <w:lvl w:ilvl="4" w:tplc="3EFCD374">
      <w:numFmt w:val="decimal"/>
      <w:lvlText w:val="o"/>
      <w:lvlJc w:val="left"/>
      <w:pPr>
        <w:ind w:left="0"/>
      </w:pPr>
    </w:lvl>
    <w:lvl w:ilvl="5" w:tplc="89340512">
      <w:numFmt w:val="decimal"/>
      <w:lvlText w:val="§"/>
      <w:lvlJc w:val="left"/>
      <w:pPr>
        <w:ind w:left="0"/>
      </w:pPr>
    </w:lvl>
    <w:lvl w:ilvl="6" w:tplc="023AD478">
      <w:numFmt w:val="decimal"/>
      <w:lvlText w:val="·"/>
      <w:lvlJc w:val="left"/>
      <w:pPr>
        <w:ind w:left="0"/>
      </w:pPr>
    </w:lvl>
    <w:lvl w:ilvl="7" w:tplc="BAE68838">
      <w:numFmt w:val="decimal"/>
      <w:lvlText w:val="o"/>
      <w:lvlJc w:val="left"/>
      <w:pPr>
        <w:ind w:left="0"/>
      </w:pPr>
    </w:lvl>
    <w:lvl w:ilvl="8" w:tplc="6EAC3FF8">
      <w:numFmt w:val="decimal"/>
      <w:lvlText w:val="§"/>
      <w:lvlJc w:val="left"/>
      <w:pPr>
        <w:ind w:left="0"/>
      </w:pPr>
    </w:lvl>
  </w:abstractNum>
  <w:abstractNum w:abstractNumId="2">
    <w:nsid w:val="3ADF42E9"/>
    <w:multiLevelType w:val="hybridMultilevel"/>
    <w:tmpl w:val="5EEE24F2"/>
    <w:lvl w:ilvl="0" w:tplc="9FDC392E">
      <w:start w:val="1"/>
      <w:numFmt w:val="bullet"/>
      <w:lvlText w:val="–"/>
      <w:lvlJc w:val="left"/>
      <w:pPr>
        <w:ind w:hanging="360"/>
      </w:pPr>
    </w:lvl>
    <w:lvl w:ilvl="1" w:tplc="219EFBB8">
      <w:start w:val="1"/>
      <w:numFmt w:val="bullet"/>
      <w:lvlText w:val="o"/>
      <w:lvlJc w:val="left"/>
      <w:pPr>
        <w:ind w:hanging="360"/>
      </w:pPr>
    </w:lvl>
    <w:lvl w:ilvl="2" w:tplc="4C9A3022">
      <w:start w:val="1"/>
      <w:numFmt w:val="bullet"/>
      <w:lvlText w:val="§"/>
      <w:lvlJc w:val="left"/>
      <w:pPr>
        <w:ind w:hanging="360"/>
      </w:pPr>
    </w:lvl>
    <w:lvl w:ilvl="3" w:tplc="FCAE6330">
      <w:start w:val="1"/>
      <w:numFmt w:val="bullet"/>
      <w:lvlText w:val="·"/>
      <w:lvlJc w:val="left"/>
      <w:pPr>
        <w:ind w:hanging="360"/>
      </w:pPr>
    </w:lvl>
    <w:lvl w:ilvl="4" w:tplc="97949F24">
      <w:start w:val="1"/>
      <w:numFmt w:val="bullet"/>
      <w:lvlText w:val="o"/>
      <w:lvlJc w:val="left"/>
      <w:pPr>
        <w:ind w:hanging="360"/>
      </w:pPr>
    </w:lvl>
    <w:lvl w:ilvl="5" w:tplc="CDD063B2">
      <w:start w:val="1"/>
      <w:numFmt w:val="bullet"/>
      <w:lvlText w:val="§"/>
      <w:lvlJc w:val="left"/>
      <w:pPr>
        <w:ind w:hanging="360"/>
      </w:pPr>
    </w:lvl>
    <w:lvl w:ilvl="6" w:tplc="29063A96">
      <w:start w:val="1"/>
      <w:numFmt w:val="bullet"/>
      <w:lvlText w:val="·"/>
      <w:lvlJc w:val="left"/>
      <w:pPr>
        <w:ind w:hanging="360"/>
      </w:pPr>
    </w:lvl>
    <w:lvl w:ilvl="7" w:tplc="17149CC4">
      <w:start w:val="1"/>
      <w:numFmt w:val="bullet"/>
      <w:lvlText w:val="o"/>
      <w:lvlJc w:val="left"/>
      <w:pPr>
        <w:ind w:hanging="360"/>
      </w:pPr>
    </w:lvl>
    <w:lvl w:ilvl="8" w:tplc="9B1AA8EE">
      <w:start w:val="1"/>
      <w:numFmt w:val="bullet"/>
      <w:lvlText w:val="§"/>
      <w:lvlJc w:val="left"/>
      <w:pPr>
        <w:ind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1AA"/>
    <w:rsid w:val="002B5EA9"/>
    <w:rsid w:val="00601C6B"/>
    <w:rsid w:val="0086774D"/>
    <w:rsid w:val="00964048"/>
    <w:rsid w:val="00CA11AA"/>
    <w:rsid w:val="00F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styleId="aff6">
    <w:name w:val="Emphasis"/>
    <w:qFormat/>
    <w:rPr>
      <w:rFonts w:ascii="SegoeUI" w:eastAsia="SegoeUI" w:hAnsi="SegoeUI" w:cs="SegoeUI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4707</Words>
  <Characters>26831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Компашка пк</cp:lastModifiedBy>
  <cp:revision>6</cp:revision>
  <cp:lastPrinted>2026-05-21T06:52:00Z</cp:lastPrinted>
  <dcterms:created xsi:type="dcterms:W3CDTF">2026-04-29T07:18:00Z</dcterms:created>
  <dcterms:modified xsi:type="dcterms:W3CDTF">2026-06-04T06:25:00Z</dcterms:modified>
</cp:coreProperties>
</file>