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CC" w:rsidRPr="00FF1449" w:rsidRDefault="00511A60" w:rsidP="000D4AC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Calibri"/>
          <w:b/>
          <w:color w:val="000000"/>
          <w:sz w:val="28"/>
          <w:szCs w:val="28"/>
        </w:rPr>
        <w:t xml:space="preserve">           </w:t>
      </w:r>
      <w:r w:rsidR="00495313">
        <w:rPr>
          <w:rFonts w:ascii="Times New Roman" w:eastAsia="Times New Roman" w:hAnsi="Times New Roman" w:cs="Calibri"/>
          <w:b/>
          <w:color w:val="000000"/>
          <w:sz w:val="28"/>
          <w:szCs w:val="28"/>
        </w:rPr>
        <w:t xml:space="preserve">   </w:t>
      </w:r>
      <w:r w:rsidR="000D4ACC" w:rsidRPr="00FF144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АДМИНИСТРАЦИЯ</w:t>
      </w:r>
    </w:p>
    <w:p w:rsidR="000D4ACC" w:rsidRPr="00FF1449" w:rsidRDefault="000D4ACC" w:rsidP="000D4AC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МУНИЦИПАЛЬНОГО ОБРАЗОВАНИЯ</w:t>
      </w:r>
    </w:p>
    <w:p w:rsidR="000D4ACC" w:rsidRPr="00FF1449" w:rsidRDefault="000D4ACC" w:rsidP="000D4AC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БУРЛЫКСКИЙ СЕЛЬСОВЕТ</w:t>
      </w:r>
    </w:p>
    <w:p w:rsidR="000D4ACC" w:rsidRPr="00FF1449" w:rsidRDefault="000D4ACC" w:rsidP="000D4AC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34"/>
      </w:tblGrid>
      <w:tr w:rsidR="000D4ACC" w:rsidRPr="00FF1449" w:rsidTr="008934BF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D4ACC" w:rsidRPr="00FF1449" w:rsidRDefault="000D4ACC" w:rsidP="000D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D4ACC" w:rsidRPr="00FF1449" w:rsidRDefault="000D4ACC" w:rsidP="000D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F14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  <w:p w:rsidR="000D4ACC" w:rsidRPr="00FF1449" w:rsidRDefault="000D4ACC" w:rsidP="000D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0D4ACC" w:rsidRPr="00FF1449" w:rsidRDefault="000D4ACC" w:rsidP="000D4AC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29</w:t>
      </w: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.2026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-п</w:t>
      </w:r>
    </w:p>
    <w:p w:rsidR="000D4ACC" w:rsidRPr="00FF1449" w:rsidRDefault="000D4ACC" w:rsidP="000D4AC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Cs w:val="24"/>
          <w:lang w:eastAsia="en-US"/>
        </w:rPr>
      </w:pPr>
      <w:r w:rsidRPr="00FF1449">
        <w:rPr>
          <w:rFonts w:ascii="Times New Roman" w:eastAsia="Times New Roman" w:hAnsi="Times New Roman" w:cs="Times New Roman"/>
          <w:szCs w:val="24"/>
          <w:lang w:eastAsia="en-US"/>
        </w:rPr>
        <w:t>п. Бурлыкский</w:t>
      </w:r>
    </w:p>
    <w:p w:rsidR="00511A60" w:rsidRPr="00511A60" w:rsidRDefault="00511A60" w:rsidP="000D4ACC">
      <w:pPr>
        <w:tabs>
          <w:tab w:val="left" w:pos="7245"/>
        </w:tabs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                   </w:t>
      </w:r>
    </w:p>
    <w:p w:rsidR="00511A60" w:rsidRPr="00490B2E" w:rsidRDefault="00511A60" w:rsidP="000D4ACC">
      <w:pPr>
        <w:ind w:firstLine="0"/>
        <w:jc w:val="center"/>
        <w:rPr>
          <w:rFonts w:ascii="Times New Roman" w:eastAsia="Times New Roman" w:hAnsi="Times New Roman" w:cs="Calibri"/>
          <w:color w:val="000000"/>
          <w:sz w:val="27"/>
          <w:szCs w:val="27"/>
        </w:rPr>
      </w:pP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Об утверждении административного регламента предоставления </w:t>
      </w:r>
      <w:r w:rsidR="00490B2E">
        <w:rPr>
          <w:rFonts w:ascii="Times New Roman" w:eastAsia="Times New Roman" w:hAnsi="Times New Roman" w:cs="Calibri"/>
          <w:color w:val="000000"/>
          <w:sz w:val="27"/>
          <w:szCs w:val="27"/>
        </w:rPr>
        <w:t>м</w:t>
      </w: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>униципальной услуги «Предоставление лесных участков, расположенных на землях населенных пунктов, в безвозмездное пользование без проведения торгов</w:t>
      </w:r>
      <w:r w:rsidRPr="00490B2E">
        <w:rPr>
          <w:rFonts w:ascii="Times New Roman" w:eastAsia="Times New Roman" w:hAnsi="Times New Roman" w:cs="Calibri"/>
          <w:bCs/>
          <w:color w:val="000000"/>
          <w:sz w:val="27"/>
          <w:szCs w:val="27"/>
        </w:rPr>
        <w:t>»</w:t>
      </w:r>
    </w:p>
    <w:p w:rsidR="00511A60" w:rsidRDefault="00511A60" w:rsidP="00511A6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alibri"/>
          <w:color w:val="000000"/>
          <w:sz w:val="27"/>
          <w:szCs w:val="27"/>
        </w:rPr>
      </w:pPr>
    </w:p>
    <w:p w:rsidR="00490B2E" w:rsidRPr="00490B2E" w:rsidRDefault="00490B2E" w:rsidP="00511A6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alibri"/>
          <w:color w:val="000000"/>
          <w:sz w:val="27"/>
          <w:szCs w:val="27"/>
        </w:rPr>
      </w:pPr>
    </w:p>
    <w:p w:rsidR="00511A60" w:rsidRPr="00490B2E" w:rsidRDefault="00511A60" w:rsidP="00511A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7"/>
          <w:szCs w:val="27"/>
        </w:rPr>
      </w:pPr>
      <w:proofErr w:type="gramStart"/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0D4ACC" w:rsidRPr="00490B2E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 администрации муниципального образования </w:t>
      </w:r>
      <w:r w:rsidR="000D4ACC" w:rsidRPr="00490B2E">
        <w:rPr>
          <w:rFonts w:ascii="Times New Roman" w:hAnsi="Times New Roman" w:cs="Times New Roman"/>
          <w:sz w:val="27"/>
          <w:szCs w:val="27"/>
        </w:rPr>
        <w:t>Бурлыкский сельсовет</w:t>
      </w:r>
      <w:r w:rsidR="000D4ACC" w:rsidRPr="00490B2E">
        <w:rPr>
          <w:rFonts w:ascii="Times New Roman" w:eastAsia="Times New Roman" w:hAnsi="Times New Roman" w:cs="Times New Roman"/>
          <w:sz w:val="27"/>
          <w:szCs w:val="27"/>
        </w:rPr>
        <w:t xml:space="preserve"> от 01.06.2023 № 52-п «</w:t>
      </w:r>
      <w:r w:rsidR="000D4ACC" w:rsidRPr="00490B2E">
        <w:rPr>
          <w:rFonts w:ascii="Times New Roman" w:eastAsia="Calibri" w:hAnsi="Times New Roman" w:cs="Times New Roman"/>
          <w:bCs/>
          <w:sz w:val="27"/>
          <w:szCs w:val="27"/>
        </w:rPr>
        <w:t>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Бурлыкский сельсовет Беляевского</w:t>
      </w:r>
      <w:proofErr w:type="gramEnd"/>
      <w:r w:rsidR="000D4ACC" w:rsidRPr="00490B2E">
        <w:rPr>
          <w:rFonts w:ascii="Times New Roman" w:eastAsia="Calibri" w:hAnsi="Times New Roman" w:cs="Times New Roman"/>
          <w:bCs/>
          <w:sz w:val="27"/>
          <w:szCs w:val="27"/>
        </w:rPr>
        <w:t xml:space="preserve"> района Оренбургской области</w:t>
      </w:r>
      <w:r w:rsidR="000D4ACC" w:rsidRPr="00490B2E">
        <w:rPr>
          <w:rFonts w:ascii="Times New Roman" w:eastAsia="Times New Roman" w:hAnsi="Times New Roman" w:cs="Times New Roman"/>
          <w:sz w:val="27"/>
          <w:szCs w:val="27"/>
        </w:rPr>
        <w:t>»</w:t>
      </w:r>
      <w:r w:rsidR="000D4ACC" w:rsidRPr="00490B2E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0D4ACC" w:rsidRPr="00490B2E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Уставом муниципального образования </w:t>
      </w:r>
      <w:r w:rsidR="000D4ACC" w:rsidRPr="00490B2E">
        <w:rPr>
          <w:rFonts w:ascii="Times New Roman" w:hAnsi="Times New Roman" w:cs="Times New Roman"/>
          <w:sz w:val="27"/>
          <w:szCs w:val="27"/>
        </w:rPr>
        <w:t>Бурлыкский сельсовет</w:t>
      </w: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>:</w:t>
      </w:r>
    </w:p>
    <w:p w:rsidR="00511A60" w:rsidRPr="00490B2E" w:rsidRDefault="00511A60" w:rsidP="00511A60">
      <w:pPr>
        <w:widowControl w:val="0"/>
        <w:ind w:firstLine="709"/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</w:pP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1. Утвердить административный регламент </w:t>
      </w:r>
      <w:r w:rsidRPr="00490B2E">
        <w:rPr>
          <w:rFonts w:ascii="Times New Roman" w:eastAsia="Calibri" w:hAnsi="Times New Roman" w:cs="Calibri"/>
          <w:color w:val="000000"/>
          <w:sz w:val="27"/>
          <w:szCs w:val="27"/>
          <w:lang w:eastAsia="en-US"/>
        </w:rPr>
        <w:t>предоставления муниципальной услуги «</w:t>
      </w: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490B2E">
        <w:rPr>
          <w:rFonts w:ascii="Times New Roman" w:eastAsia="Times New Roman" w:hAnsi="Times New Roman" w:cs="Calibri"/>
          <w:bCs/>
          <w:color w:val="000000"/>
          <w:sz w:val="27"/>
          <w:szCs w:val="27"/>
        </w:rPr>
        <w:t>»</w:t>
      </w:r>
      <w:r w:rsidRPr="00490B2E">
        <w:rPr>
          <w:rFonts w:ascii="Times New Roman" w:eastAsia="Calibri" w:hAnsi="Times New Roman" w:cs="Calibri"/>
          <w:color w:val="000000"/>
          <w:sz w:val="27"/>
          <w:szCs w:val="27"/>
          <w:lang w:eastAsia="en-US"/>
        </w:rPr>
        <w:t xml:space="preserve"> </w:t>
      </w: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>согласно приложению.</w:t>
      </w:r>
      <w:r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 xml:space="preserve"> </w:t>
      </w:r>
    </w:p>
    <w:p w:rsidR="00511A60" w:rsidRPr="00490B2E" w:rsidRDefault="00511A60" w:rsidP="00511A60">
      <w:pPr>
        <w:widowControl w:val="0"/>
        <w:ind w:firstLine="709"/>
        <w:rPr>
          <w:rFonts w:ascii="Arial" w:eastAsia="SimSun" w:hAnsi="Arial" w:cs="Mangal"/>
          <w:color w:val="000000"/>
          <w:kern w:val="1"/>
          <w:sz w:val="27"/>
          <w:szCs w:val="27"/>
          <w:lang w:eastAsia="hi-IN" w:bidi="hi-IN"/>
        </w:rPr>
      </w:pPr>
      <w:r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 xml:space="preserve">2. Признать утратившим силу постановление администрации муниципального образования </w:t>
      </w:r>
      <w:r w:rsidR="000D4ACC"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Бурлыкский</w:t>
      </w:r>
      <w:r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 xml:space="preserve"> сельсовет</w:t>
      </w:r>
      <w:r w:rsidRPr="00490B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 xml:space="preserve">Беляевского района Оренбургской области от </w:t>
      </w:r>
      <w:r w:rsidR="000D4ACC"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18</w:t>
      </w:r>
      <w:r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.1</w:t>
      </w:r>
      <w:r w:rsidR="000D4ACC"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0</w:t>
      </w:r>
      <w:r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.2024 №</w:t>
      </w:r>
      <w:r w:rsidR="000D4ACC"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94</w:t>
      </w:r>
      <w:r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-п</w:t>
      </w:r>
      <w:r w:rsidRPr="00490B2E">
        <w:rPr>
          <w:rFonts w:ascii="Arial" w:eastAsia="SimSun" w:hAnsi="Arial" w:cs="Mangal"/>
          <w:color w:val="000000"/>
          <w:kern w:val="1"/>
          <w:sz w:val="27"/>
          <w:szCs w:val="27"/>
          <w:lang w:eastAsia="hi-IN" w:bidi="hi-IN"/>
        </w:rPr>
        <w:t xml:space="preserve"> </w:t>
      </w:r>
      <w:r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«</w:t>
      </w: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безвозмездное пользование без проведения торгов</w:t>
      </w:r>
      <w:r w:rsidRPr="00490B2E">
        <w:rPr>
          <w:rFonts w:ascii="Times New Roman" w:eastAsia="Times New Roman" w:hAnsi="Times New Roman" w:cs="Calibri"/>
          <w:bCs/>
          <w:color w:val="000000"/>
          <w:sz w:val="27"/>
          <w:szCs w:val="27"/>
        </w:rPr>
        <w:t>»</w:t>
      </w:r>
      <w:r w:rsidRPr="00490B2E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 xml:space="preserve">. </w:t>
      </w:r>
      <w:r w:rsidRPr="00490B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511A60" w:rsidRPr="00490B2E" w:rsidRDefault="00511A60" w:rsidP="00511A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7"/>
          <w:szCs w:val="27"/>
        </w:rPr>
      </w:pP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ab/>
        <w:t xml:space="preserve">3. </w:t>
      </w:r>
      <w:proofErr w:type="gramStart"/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>Контроль за</w:t>
      </w:r>
      <w:proofErr w:type="gramEnd"/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 исполнением настоящего постановления оставляю за собой. </w:t>
      </w:r>
    </w:p>
    <w:p w:rsidR="00511A60" w:rsidRPr="00490B2E" w:rsidRDefault="00511A60" w:rsidP="00511A60">
      <w:pPr>
        <w:widowControl w:val="0"/>
        <w:ind w:firstLine="709"/>
        <w:rPr>
          <w:rFonts w:ascii="Times New Roman" w:eastAsia="Times New Roman" w:hAnsi="Times New Roman" w:cs="Calibri"/>
          <w:color w:val="000000"/>
          <w:sz w:val="27"/>
          <w:szCs w:val="27"/>
        </w:rPr>
      </w:pP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4.Настоящее постановление вступает в силу после его официального опубликования  на  сайте муниципального образования </w:t>
      </w:r>
      <w:r w:rsidR="00490B2E"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>Бурлыкский</w:t>
      </w: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 сельсовет  и  газете «</w:t>
      </w:r>
      <w:r w:rsidR="00490B2E"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>Вести Бурлыкского сельсовета</w:t>
      </w: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>».</w:t>
      </w:r>
    </w:p>
    <w:p w:rsidR="00511A60" w:rsidRPr="00490B2E" w:rsidRDefault="00511A60" w:rsidP="00511A60">
      <w:pPr>
        <w:widowControl w:val="0"/>
        <w:autoSpaceDE w:val="0"/>
        <w:autoSpaceDN w:val="0"/>
        <w:adjustRightInd w:val="0"/>
        <w:ind w:firstLine="540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511A60" w:rsidRPr="00490B2E" w:rsidRDefault="00511A60" w:rsidP="00511A60">
      <w:pPr>
        <w:ind w:firstLine="0"/>
        <w:jc w:val="left"/>
        <w:rPr>
          <w:rFonts w:ascii="Times New Roman" w:eastAsia="Times New Roman" w:hAnsi="Times New Roman" w:cs="Calibri"/>
          <w:color w:val="000000"/>
          <w:sz w:val="27"/>
          <w:szCs w:val="27"/>
        </w:rPr>
      </w:pP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Глава муниципального образования </w:t>
      </w:r>
    </w:p>
    <w:p w:rsidR="00511A60" w:rsidRPr="00490B2E" w:rsidRDefault="00490B2E" w:rsidP="00511A60">
      <w:pPr>
        <w:widowControl w:val="0"/>
        <w:autoSpaceDE w:val="0"/>
        <w:autoSpaceDN w:val="0"/>
        <w:ind w:firstLine="0"/>
        <w:rPr>
          <w:rFonts w:ascii="Times New Roman" w:eastAsia="Times New Roman" w:hAnsi="Times New Roman" w:cs="Calibri"/>
          <w:color w:val="000000"/>
          <w:sz w:val="27"/>
          <w:szCs w:val="27"/>
        </w:rPr>
      </w:pP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>Бурлыкский</w:t>
      </w:r>
      <w:r w:rsidR="00511A60"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 сельсовет                                                </w:t>
      </w:r>
      <w:r w:rsidRPr="00490B2E">
        <w:rPr>
          <w:rFonts w:ascii="Times New Roman" w:eastAsia="Times New Roman" w:hAnsi="Times New Roman" w:cs="Calibri"/>
          <w:color w:val="000000"/>
          <w:sz w:val="27"/>
          <w:szCs w:val="27"/>
        </w:rPr>
        <w:t xml:space="preserve">                      В.А. Черепаха</w:t>
      </w:r>
    </w:p>
    <w:p w:rsidR="00511A60" w:rsidRPr="00490B2E" w:rsidRDefault="00511A60" w:rsidP="00511A60">
      <w:pPr>
        <w:ind w:firstLine="0"/>
        <w:jc w:val="left"/>
        <w:rPr>
          <w:rFonts w:ascii="Times New Roman" w:eastAsia="Times New Roman" w:hAnsi="Times New Roman" w:cs="Calibri"/>
          <w:color w:val="000000"/>
          <w:sz w:val="27"/>
          <w:szCs w:val="27"/>
        </w:rPr>
      </w:pPr>
    </w:p>
    <w:p w:rsidR="00511A60" w:rsidRPr="00490B2E" w:rsidRDefault="00511A60" w:rsidP="00511A60">
      <w:pPr>
        <w:ind w:firstLine="0"/>
        <w:jc w:val="left"/>
        <w:rPr>
          <w:rFonts w:ascii="Times New Roman" w:eastAsia="Times New Roman" w:hAnsi="Times New Roman" w:cs="Calibri"/>
          <w:color w:val="000000"/>
          <w:sz w:val="27"/>
          <w:szCs w:val="27"/>
        </w:rPr>
      </w:pPr>
    </w:p>
    <w:p w:rsidR="00490B2E" w:rsidRDefault="00511A60" w:rsidP="00495313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Разослано: </w:t>
      </w:r>
      <w:r w:rsidRPr="00490B2E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администрации района, прокурору,  в   дело</w:t>
      </w:r>
      <w:r w:rsidR="00490B2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11A60" w:rsidRPr="00511A60" w:rsidRDefault="00511A60" w:rsidP="00495313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511A60" w:rsidRPr="00511A60" w:rsidRDefault="00511A60" w:rsidP="00511A60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511A60" w:rsidRPr="00511A60" w:rsidRDefault="00511A60" w:rsidP="00511A60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jc w:val="left"/>
        <w:rPr>
          <w:rFonts w:ascii="Times New Roman" w:eastAsia="Times New Roman" w:hAnsi="Times New Roman" w:cs="Times New Roman"/>
          <w:szCs w:val="24"/>
        </w:rPr>
      </w:pP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от </w:t>
      </w:r>
      <w:r w:rsidR="0049531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490B2E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95313">
        <w:rPr>
          <w:rFonts w:ascii="Times New Roman" w:eastAsia="Times New Roman" w:hAnsi="Times New Roman" w:cs="Times New Roman"/>
          <w:bCs/>
          <w:sz w:val="28"/>
          <w:szCs w:val="28"/>
        </w:rPr>
        <w:t xml:space="preserve">05.2026  № </w:t>
      </w:r>
      <w:r w:rsidR="00490B2E">
        <w:rPr>
          <w:rFonts w:ascii="Times New Roman" w:eastAsia="Times New Roman" w:hAnsi="Times New Roman" w:cs="Times New Roman"/>
          <w:bCs/>
          <w:sz w:val="28"/>
          <w:szCs w:val="28"/>
        </w:rPr>
        <w:t>29</w:t>
      </w: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>-п</w:t>
      </w:r>
    </w:p>
    <w:p w:rsidR="00511A60" w:rsidRPr="00511A60" w:rsidRDefault="00511A60" w:rsidP="00511A60">
      <w:pPr>
        <w:widowControl w:val="0"/>
        <w:autoSpaceDE w:val="0"/>
        <w:autoSpaceDN w:val="0"/>
        <w:ind w:left="360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33"/>
      <w:bookmarkEnd w:id="0"/>
    </w:p>
    <w:p w:rsidR="00511A60" w:rsidRPr="00490B2E" w:rsidRDefault="00511A60" w:rsidP="00490B2E">
      <w:pPr>
        <w:widowControl w:val="0"/>
        <w:autoSpaceDE w:val="0"/>
        <w:autoSpaceDN w:val="0"/>
        <w:ind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</w:p>
    <w:p w:rsidR="00511A60" w:rsidRPr="00490B2E" w:rsidRDefault="00511A60" w:rsidP="00490B2E">
      <w:pPr>
        <w:widowControl w:val="0"/>
        <w:autoSpaceDE w:val="0"/>
        <w:autoSpaceDN w:val="0"/>
        <w:ind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</w:p>
    <w:p w:rsidR="00511A60" w:rsidRPr="00490B2E" w:rsidRDefault="00511A60" w:rsidP="00490B2E">
      <w:pPr>
        <w:widowControl w:val="0"/>
        <w:autoSpaceDE w:val="0"/>
        <w:autoSpaceDN w:val="0"/>
        <w:ind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</w:t>
      </w:r>
      <w:r w:rsidRPr="00490B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975AB7" w:rsidRPr="00490B2E" w:rsidRDefault="00975AB7" w:rsidP="00490B2E">
      <w:pPr>
        <w:pStyle w:val="af9"/>
        <w:ind w:firstLine="0"/>
        <w:jc w:val="center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975AB7" w:rsidP="00490B2E">
      <w:pPr>
        <w:ind w:firstLine="0"/>
        <w:jc w:val="center"/>
        <w:rPr>
          <w:rFonts w:ascii="Times New Roman" w:eastAsia="Tinos" w:hAnsi="Times New Roman" w:cs="Times New Roman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I. Общие положения</w:t>
      </w:r>
    </w:p>
    <w:p w:rsidR="00975AB7" w:rsidRPr="00490B2E" w:rsidRDefault="00975AB7" w:rsidP="00490B2E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 Предмет регулирования административного регламента</w:t>
      </w:r>
    </w:p>
    <w:p w:rsidR="00975AB7" w:rsidRPr="00490B2E" w:rsidRDefault="00975AB7" w:rsidP="00490B2E">
      <w:pPr>
        <w:pStyle w:val="af9"/>
        <w:ind w:firstLine="0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511A60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1. 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Административный регламент предоставления муниципальной услуги  «Предоставление лесных участков, расположенных на землях населенных пунктов, в безвозмездное пользование без проведения торгов»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</w:t>
      </w:r>
      <w:r w:rsidR="00511A60"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тавлению муниципальной услуги в </w:t>
      </w:r>
      <w:r w:rsidR="00511A60" w:rsidRPr="00490B2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="00490B2E">
        <w:rPr>
          <w:rFonts w:ascii="Times New Roman" w:eastAsia="Times New Roman" w:hAnsi="Times New Roman" w:cs="Times New Roman"/>
          <w:sz w:val="28"/>
          <w:szCs w:val="28"/>
        </w:rPr>
        <w:t>Бурлыкский</w:t>
      </w:r>
      <w:r w:rsidR="00511A60" w:rsidRPr="00490B2E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  <w:proofErr w:type="gramEnd"/>
    </w:p>
    <w:p w:rsidR="00975AB7" w:rsidRPr="00490B2E" w:rsidRDefault="00975AB7" w:rsidP="00490B2E">
      <w:pPr>
        <w:ind w:firstLine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Круг заявителей</w:t>
      </w:r>
    </w:p>
    <w:p w:rsidR="00975AB7" w:rsidRPr="00490B2E" w:rsidRDefault="00975AB7" w:rsidP="00490B2E">
      <w:pPr>
        <w:pStyle w:val="af9"/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2. Услуга (перечень условных обозначений и сокращений приведен в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</w:t>
      </w:r>
      <w:proofErr w:type="gramEnd"/>
      <w:r w:rsidRPr="00490B2E">
        <w:rPr>
          <w:rFonts w:ascii="Times New Roman" w:hAnsi="Times New Roman" w:cs="Times New Roman"/>
          <w:sz w:val="28"/>
          <w:szCs w:val="28"/>
        </w:rPr>
        <w:fldChar w:fldCharType="begin"/>
      </w:r>
      <w:r w:rsidRPr="00490B2E">
        <w:rPr>
          <w:rFonts w:ascii="Times New Roman" w:hAnsi="Times New Roman" w:cs="Times New Roman"/>
          <w:sz w:val="28"/>
          <w:szCs w:val="28"/>
        </w:rPr>
        <w:instrText xml:space="preserve"> HYPERLINK "https://internet.garant.ru/" \l "/document/412265536/entry/1100" \o "https://internet.garant.ru/#/document/412265536/entry/1100" </w:instrText>
      </w:r>
      <w:r w:rsidRPr="00490B2E">
        <w:rPr>
          <w:rFonts w:ascii="Times New Roman" w:hAnsi="Times New Roman" w:cs="Times New Roman"/>
          <w:sz w:val="28"/>
          <w:szCs w:val="28"/>
        </w:rPr>
        <w:fldChar w:fldCharType="separate"/>
      </w: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риложении </w:t>
      </w: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fldChar w:fldCharType="end"/>
      </w: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настоящему Административному регламенту) предоставляется физическим лицам и юридическим лица (далее – Заявитель).</w:t>
      </w:r>
    </w:p>
    <w:p w:rsidR="00975AB7" w:rsidRDefault="001C70CA" w:rsidP="00490B2E">
      <w:pPr>
        <w:pStyle w:val="af9"/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490B2E" w:rsidRPr="00490B2E" w:rsidRDefault="00490B2E" w:rsidP="00490B2E">
      <w:pPr>
        <w:pStyle w:val="af9"/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jc w:val="center"/>
        <w:rPr>
          <w:rFonts w:ascii="Times New Roman" w:eastAsia="Tinos" w:hAnsi="Times New Roman" w:cs="Times New Roman"/>
          <w:bCs/>
          <w:color w:val="000000"/>
          <w:sz w:val="28"/>
          <w:szCs w:val="28"/>
          <w:highlight w:val="white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</w:t>
      </w:r>
      <w:r w:rsidRPr="00490B2E">
        <w:rPr>
          <w:rFonts w:ascii="Times New Roman" w:eastAsia="Tinos" w:hAnsi="Times New Roman" w:cs="Times New Roman"/>
          <w:bCs/>
          <w:color w:val="000000"/>
          <w:sz w:val="28"/>
          <w:szCs w:val="28"/>
          <w:highlight w:val="white"/>
        </w:rPr>
        <w:t>лей, сведения о которых размещаются в реестре услуг и на Едином портале»</w:t>
      </w:r>
    </w:p>
    <w:p w:rsidR="00975AB7" w:rsidRPr="00490B2E" w:rsidRDefault="00975AB7" w:rsidP="00490B2E">
      <w:pPr>
        <w:pStyle w:val="af9"/>
        <w:ind w:firstLine="0"/>
        <w:jc w:val="center"/>
        <w:rPr>
          <w:rFonts w:ascii="Times New Roman" w:eastAsia="Tinos" w:hAnsi="Times New Roman" w:cs="Times New Roman"/>
          <w:bCs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495313" w:rsidRPr="00490B2E" w:rsidRDefault="00495313" w:rsidP="00490B2E">
      <w:pPr>
        <w:pStyle w:val="af9"/>
        <w:ind w:firstLine="0"/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</w:pPr>
    </w:p>
    <w:p w:rsidR="00975AB7" w:rsidRPr="00490B2E" w:rsidRDefault="001C70CA" w:rsidP="00490B2E">
      <w:pPr>
        <w:pStyle w:val="af9"/>
        <w:ind w:firstLine="0"/>
        <w:jc w:val="center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  <w:bookmarkStart w:id="1" w:name="sub_2002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II. Стандарт предоставления муниципальной услуги</w:t>
      </w:r>
    </w:p>
    <w:p w:rsidR="00975AB7" w:rsidRPr="00490B2E" w:rsidRDefault="00975AB7" w:rsidP="00490B2E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bookmarkStart w:id="2" w:name="sub_2021"/>
      <w:bookmarkEnd w:id="1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Наименование Услуги</w:t>
      </w:r>
    </w:p>
    <w:p w:rsidR="00975AB7" w:rsidRPr="00490B2E" w:rsidRDefault="00975AB7" w:rsidP="00490B2E">
      <w:pPr>
        <w:pStyle w:val="af9"/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 xml:space="preserve">4. </w:t>
      </w:r>
      <w:bookmarkStart w:id="3" w:name="sub_2022"/>
      <w:bookmarkEnd w:id="2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торгов.</w:t>
      </w:r>
    </w:p>
    <w:bookmarkEnd w:id="3"/>
    <w:p w:rsidR="00975AB7" w:rsidRPr="00490B2E" w:rsidRDefault="00975AB7" w:rsidP="00490B2E">
      <w:pPr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975AB7" w:rsidRPr="00490B2E" w:rsidRDefault="00975AB7" w:rsidP="00490B2E">
      <w:pPr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511A60" w:rsidRPr="00490B2E" w:rsidRDefault="001C70CA" w:rsidP="00490B2E">
      <w:pPr>
        <w:pStyle w:val="af9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5. Муниципальная услуга предоставляется уполномоченным органом - </w:t>
      </w:r>
      <w:r w:rsidR="00511A60" w:rsidRPr="00490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муниципального образования </w:t>
      </w:r>
      <w:r w:rsidR="00490B2E">
        <w:rPr>
          <w:rFonts w:ascii="Times New Roman" w:eastAsia="Times New Roman" w:hAnsi="Times New Roman" w:cs="Times New Roman"/>
          <w:color w:val="000000"/>
          <w:sz w:val="28"/>
          <w:szCs w:val="28"/>
        </w:rPr>
        <w:t>Бурлыкский</w:t>
      </w:r>
      <w:r w:rsidR="00511A60" w:rsidRPr="00490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975AB7" w:rsidRPr="00490B2E" w:rsidRDefault="00975AB7" w:rsidP="00490B2E">
      <w:pPr>
        <w:pStyle w:val="af9"/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bookmarkStart w:id="4" w:name="sub_2023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Результат предоставления муниципальной услуги</w:t>
      </w:r>
      <w:bookmarkEnd w:id="4"/>
    </w:p>
    <w:p w:rsidR="00975AB7" w:rsidRPr="00490B2E" w:rsidRDefault="00975AB7" w:rsidP="00490B2E">
      <w:pPr>
        <w:ind w:firstLine="0"/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безвозмездное пользование без проведения торгов, результатом предоставления Услуги является: 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1) уведомление о предоставлении лесных участков, расположенных на землях населенных пунктов, в безвозмездное пользование без проведения торгов (согласно форме № 2, указанной в приложении к настоящему Административному регламенту);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495313" w:rsidRPr="00490B2E" w:rsidRDefault="00495313" w:rsidP="00490B2E">
      <w:pPr>
        <w:pStyle w:val="af9"/>
        <w:ind w:firstLine="0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Срок предоставления муниципальной услуги</w:t>
      </w: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1C70CA" w:rsidP="00490B2E">
      <w:pPr>
        <w:ind w:firstLine="0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 w:rsidRPr="00490B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Размер платы, взимаемой с заявителя при предоставлении муниципальной услуги и способы ее взимания</w:t>
      </w:r>
    </w:p>
    <w:p w:rsidR="00975AB7" w:rsidRPr="00490B2E" w:rsidRDefault="00975AB7" w:rsidP="00490B2E">
      <w:pPr>
        <w:ind w:firstLine="0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</w:pP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9. Взимание платы за предоставление Услуги не предусмотрено.</w:t>
      </w: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975AB7" w:rsidRPr="00490B2E" w:rsidRDefault="00975AB7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975AB7" w:rsidRPr="00490B2E" w:rsidRDefault="00975AB7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с даты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его поступления.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975AB7" w:rsidRPr="00490B2E" w:rsidRDefault="00975AB7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Требования к помещениям,</w:t>
      </w: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которых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предоставляется муниципальная услуга</w:t>
      </w:r>
    </w:p>
    <w:p w:rsidR="00975AB7" w:rsidRPr="00490B2E" w:rsidRDefault="00975AB7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975AB7" w:rsidRPr="00490B2E" w:rsidRDefault="00975AB7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Показатели  доступности и качества муниципальной услуги</w:t>
      </w:r>
    </w:p>
    <w:p w:rsidR="00975AB7" w:rsidRPr="00490B2E" w:rsidRDefault="00975AB7" w:rsidP="00490B2E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strike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975AB7" w:rsidRPr="00490B2E" w:rsidRDefault="00975AB7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975AB7" w:rsidRPr="00490B2E" w:rsidRDefault="00975AB7" w:rsidP="00490B2E">
      <w:pPr>
        <w:ind w:firstLine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Единый портал;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ЕСИА;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СМЭВ;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ИС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СИР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СОУ ОО.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АСЭД.</w:t>
      </w:r>
    </w:p>
    <w:p w:rsidR="00975AB7" w:rsidRPr="00490B2E" w:rsidRDefault="001C70CA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16. Предусмотрена возможность предоставления Услуги в многофункциональном центре.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</w:t>
      </w: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результаты предоставления Услуги в отношении несовершеннолетнего лично, не предусмотрено.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Исчерпывающий перечень документов, необходимых</w:t>
      </w: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для предоставления муниципальной услуги</w:t>
      </w:r>
    </w:p>
    <w:p w:rsidR="00975AB7" w:rsidRPr="00490B2E" w:rsidRDefault="00975AB7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20.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975AB7" w:rsidRPr="00490B2E" w:rsidRDefault="00975AB7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75AB7" w:rsidRPr="00490B2E" w:rsidRDefault="00975AB7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22. Основаниями для отказа в приеме заявления и документов являются: 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2) подача заявления от имени заявителя не уполномоченным на то лицом;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3) текст заявления и представленных документов не поддается прочтению;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7) несоответствие заявления форме, установленной в приложении </w:t>
      </w: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br/>
        <w:t>к настоящему Административному регламенту;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10) документы поданы в неуполномоченный орган.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24. Основаниями для отказа в предоставлении Услуги являются: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  <w:proofErr w:type="gramEnd"/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б) в отношении лесного участка, указанного в заявлен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ии о е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в) непредставление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 w:rsidRPr="00490B2E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№ 2</w:t>
        </w:r>
      </w:hyperlink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г) представление заявителем документов, указанных в </w:t>
      </w:r>
      <w:hyperlink r:id="rId10" w:anchor="/document/412265536/entry/11552" w:tooltip="https://internet.garant.ru/#/document/412265536/entry/11552" w:history="1">
        <w:r w:rsidRPr="00490B2E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№ 2</w:t>
        </w:r>
      </w:hyperlink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975AB7" w:rsidRPr="00490B2E" w:rsidRDefault="00975AB7" w:rsidP="00490B2E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975AB7" w:rsidRPr="00490B2E" w:rsidRDefault="00975AB7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а) профилирование заявителя;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б) прием заявления и документов;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в) принятие решения о приеме документов (отказе в приеме);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г) межведомственное информационное взаимодействие;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д) подготовка документа;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и) принятие решения о предоставлении (отказе в предоставлении) Услуги;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к) предоставление результата Услуги.</w:t>
      </w:r>
    </w:p>
    <w:p w:rsidR="00975AB7" w:rsidRPr="00490B2E" w:rsidRDefault="00975AB7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95313" w:rsidRPr="00490B2E" w:rsidRDefault="00495313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95313" w:rsidRPr="00490B2E" w:rsidRDefault="00495313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975AB7" w:rsidRPr="00490B2E" w:rsidRDefault="001C70CA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IV . Способы информирования заявителя об изменении статуса рассмотрения заявления</w:t>
      </w:r>
    </w:p>
    <w:p w:rsidR="00975AB7" w:rsidRPr="00490B2E" w:rsidRDefault="00975AB7" w:rsidP="00490B2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а) посредством Единого портала;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б) посредством почтовой связи.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975AB7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P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к Административному регламенту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«Предоставление лесных участков, 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расположенных на землях</w:t>
      </w:r>
      <w:proofErr w:type="gramEnd"/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населенных пунктов,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в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безвозмездное пользование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без</w:t>
      </w:r>
      <w:proofErr w:type="gramEnd"/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проведения торгов»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Перечень условных обозначений и сокращений, идентификаторы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I. Перечень условных обозначений и сокращений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Условные сокращения: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безвозмездное пользование без проведения торгов;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населенных пунктов, в безвозмездное пользование без проведения торгов;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д)  Заявитель – физические лица и юридические лица, обратившиеся в уполномоченный орган с запросом (заявлением) о предоставлении муниципальной услуги;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е) Документы – документы и (или) информация, необходимые для предоставления Услуги;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ж) ЕСИА – Единая система идентификац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ии и ау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з) ИС СИР СОУ ОО - система исполнения регламентов Информационной системы оказания услуг Оренбургской области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и) АСЭД – автоматизированная система электронного документооборота;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л) ЭП – усиленная квалифицированная электронная подпись;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м) ЕГРН – Единый государственный реестр недвижимости.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2. Условные обозначения: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а) [Все] - документы представляются всеми заявителями, обращающимися за получением Услуги;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б)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П(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з) - представитель заявителя;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в) Единый портал - документы подаются посредством </w:t>
      </w:r>
      <w:hyperlink r:id="rId11" w:tooltip="https://www.gosuslugi.ru/" w:history="1">
        <w:r w:rsidRPr="00490B2E">
          <w:rPr>
            <w:rFonts w:ascii="Times New Roman" w:eastAsia="Tinos" w:hAnsi="Times New Roman" w:cs="Times New Roman"/>
            <w:color w:val="000000"/>
            <w:sz w:val="28"/>
            <w:szCs w:val="28"/>
          </w:rPr>
          <w:t>Единого портала</w:t>
        </w:r>
      </w:hyperlink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г) ПС - документы подаются посредством почтовой связи;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д) О - представляется оригинал документа;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ж)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О(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э) - представляется оригинал документа в электронной форме;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з)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К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- представляется копия документа;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и)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К(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э) - представляется копия документа в электронной форме.</w:t>
      </w:r>
    </w:p>
    <w:p w:rsidR="00975AB7" w:rsidRPr="00490B2E" w:rsidRDefault="00975AB7" w:rsidP="00490B2E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II. Идентификаторы категорий (признаков) заявителя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Таблица № 1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0" w:type="auto"/>
        <w:tblInd w:w="-7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975AB7" w:rsidRPr="00490B2E" w:rsidTr="00495313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Наименование отдельных признаков заявителя</w:t>
            </w:r>
          </w:p>
          <w:p w:rsidR="00975AB7" w:rsidRPr="00490B2E" w:rsidRDefault="00975AB7" w:rsidP="00490B2E">
            <w:pP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975AB7" w:rsidRPr="00490B2E" w:rsidRDefault="00975AB7" w:rsidP="00490B2E">
            <w:pP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975AB7" w:rsidRPr="00490B2E" w:rsidRDefault="00975AB7" w:rsidP="00490B2E">
            <w:pP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Результат предоставления Услуги</w:t>
            </w:r>
          </w:p>
          <w:p w:rsidR="00975AB7" w:rsidRPr="00490B2E" w:rsidRDefault="00975AB7" w:rsidP="00490B2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AB7" w:rsidRPr="00490B2E" w:rsidTr="00495313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975AB7" w:rsidP="00490B2E">
            <w:pPr>
              <w:pStyle w:val="af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975AB7" w:rsidP="00490B2E">
            <w:pPr>
              <w:pStyle w:val="af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975AB7" w:rsidRPr="00490B2E" w:rsidTr="0049531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Заявитель - физические лица и юридические лица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975AB7" w:rsidRPr="00490B2E" w:rsidTr="0049531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III. Исчерпывающий перечень документов, необходимых 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для предоставления Услуги</w:t>
      </w:r>
    </w:p>
    <w:p w:rsidR="00975AB7" w:rsidRPr="00490B2E" w:rsidRDefault="00975AB7" w:rsidP="00490B2E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375"/>
        <w:tblW w:w="100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495313" w:rsidRPr="00490B2E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Идентификаторы категорий (признаков) заявит</w:t>
            </w: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Требования к предоставлению документов</w:t>
            </w: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в том числе к формату, количеству, иные </w:t>
            </w: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 xml:space="preserve">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 xml:space="preserve">Требования к формату документов </w:t>
            </w: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случаев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подачи в электронной форме </w:t>
            </w:r>
          </w:p>
        </w:tc>
      </w:tr>
      <w:tr w:rsidR="00495313" w:rsidRPr="00490B2E" w:rsidTr="0049531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95313" w:rsidRPr="00490B2E" w:rsidTr="00495313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О(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2" w:tooltip="https://internet.garant.ru/document/redirect/990941/2770" w:history="1">
              <w:r w:rsidRPr="00490B2E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представляются в следующих форматах: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а) </w:t>
            </w: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xml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формализованных документов;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б) </w:t>
            </w: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doc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docx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odt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в) </w:t>
            </w: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xls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xlsx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ods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документов, содержащих расчеты;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г) </w:t>
            </w: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pdf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jpg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jpeg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</w:t>
            </w: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расчеты), а также документов с графическим содержанием.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dpi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(масштаб 1:1) с использованием следующих режимов: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- «цветной» или «режим полной </w:t>
            </w: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цветопередачи» (при наличии в документе цветных графических изображений либо цветного текста);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495313" w:rsidRPr="00490B2E" w:rsidTr="00495313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3" w:tooltip="https://internet.garant.ru/document/redirect/990941/2770" w:history="1">
              <w:r w:rsidRPr="00490B2E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95313" w:rsidRPr="00490B2E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4" w:tooltip="https://internet.garant.ru/document/redirect/990941/2770" w:history="1">
              <w:r w:rsidRPr="00490B2E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П(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95313" w:rsidRPr="00490B2E" w:rsidTr="0049531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95313" w:rsidRPr="00490B2E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5" w:tooltip="https://internet.garant.ru/document/redirect/990941/2770" w:history="1">
              <w:r w:rsidRPr="00490B2E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Style w:val="af2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13" w:rsidRPr="00490B2E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Копия свидетельства о постановке заявителя </w:t>
            </w: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К(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6" w:tooltip="https://internet.garant.ru/document/redirect/990941/2770" w:history="1">
              <w:r w:rsidRPr="00490B2E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[Все]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Style w:val="af2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13" w:rsidRPr="00490B2E" w:rsidTr="0049531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7" w:tooltip="https://internet.garant.ru/document/redirect/990941/2770" w:history="1">
              <w:r w:rsidRPr="00490B2E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Style w:val="af2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13" w:rsidRPr="00490B2E" w:rsidTr="0049531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8" w:tooltip="https://internet.garant.ru/document/redirect/990941/2770" w:history="1">
              <w:r w:rsidRPr="00490B2E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Style w:val="af2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13" w:rsidRPr="00490B2E" w:rsidTr="0049531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Охотхозяйственное</w:t>
            </w:r>
            <w:proofErr w:type="spell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9" w:tooltip="https://internet.garant.ru/document/redirect/990941/2770" w:history="1">
              <w:r w:rsidRPr="00490B2E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Style w:val="af2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13" w:rsidRPr="00490B2E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20" w:tooltip="https://internet.garant.ru/document/redirect/990941/2770" w:history="1">
              <w:r w:rsidRPr="00490B2E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495313" w:rsidRPr="00490B2E" w:rsidRDefault="00495313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Pr="00490B2E" w:rsidRDefault="00495313" w:rsidP="00490B2E">
            <w:pPr>
              <w:pStyle w:val="af2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313" w:rsidRPr="00490B2E" w:rsidRDefault="00495313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Таблица N 2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NewRoman" w:hAnsi="Times New Roman" w:cs="Times New Roman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Таблица N 3</w:t>
      </w: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10349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7366"/>
        <w:gridCol w:w="2552"/>
      </w:tblGrid>
      <w:tr w:rsidR="00975AB7" w:rsidRPr="00490B2E" w:rsidTr="00490B2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Перечень оснований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975AB7" w:rsidRPr="00490B2E" w:rsidTr="00490B2E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приеме заявления и документов,</w:t>
            </w:r>
          </w:p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необходимых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для предоставления Услуги</w:t>
            </w:r>
          </w:p>
        </w:tc>
      </w:tr>
      <w:tr w:rsidR="00975AB7" w:rsidRPr="00490B2E" w:rsidTr="00490B2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Неполный пакет документов либо  представленные документы утратили силу на момент обращения за услугой (документ, удостоверяющий личность; документ, </w:t>
            </w: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- Б</w:t>
            </w:r>
          </w:p>
        </w:tc>
      </w:tr>
      <w:tr w:rsidR="00975AB7" w:rsidRPr="00490B2E" w:rsidTr="00490B2E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75AB7" w:rsidRPr="00490B2E" w:rsidTr="00490B2E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2E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975AB7" w:rsidRPr="00490B2E" w:rsidTr="00490B2E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поля) 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заявления не заполнены;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2E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975AB7" w:rsidRPr="00490B2E" w:rsidTr="00490B2E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2E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975AB7" w:rsidRPr="00490B2E" w:rsidTr="00490B2E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2E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975AB7" w:rsidRPr="00490B2E" w:rsidTr="00490B2E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2E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975AB7" w:rsidRPr="00490B2E" w:rsidTr="00490B2E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2E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975AB7" w:rsidRPr="00490B2E" w:rsidTr="00490B2E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2E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975AB7" w:rsidRPr="00490B2E" w:rsidTr="00490B2E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2E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975AB7" w:rsidRPr="00490B2E" w:rsidTr="00490B2E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975AB7" w:rsidRPr="00490B2E" w:rsidTr="00490B2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975AB7" w:rsidP="00490B2E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0"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5AB7" w:rsidRPr="00490B2E" w:rsidTr="00490B2E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975AB7" w:rsidRPr="00490B2E" w:rsidTr="00490B2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975AB7" w:rsidRPr="00490B2E" w:rsidRDefault="00975AB7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5AB7" w:rsidRPr="00490B2E" w:rsidTr="00490B2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отношении лесного участка, указанного в заявлен</w:t>
            </w: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ии о е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975AB7" w:rsidRPr="00490B2E" w:rsidRDefault="00975AB7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5AB7" w:rsidRPr="00490B2E" w:rsidTr="00490B2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Непредставление заявителем документов, указанных </w:t>
            </w: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настоящего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приложения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975AB7" w:rsidRPr="00490B2E" w:rsidRDefault="00975AB7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5AB7" w:rsidRPr="00490B2E" w:rsidTr="00490B2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Представление заявителем документов, указанных </w:t>
            </w: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настоящего</w:t>
            </w:r>
            <w:proofErr w:type="gramEnd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975AB7" w:rsidRPr="00490B2E" w:rsidRDefault="00975AB7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V. Формы заявления и документов, необходимых для предоставления Услуги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№ 1 </w:t>
      </w:r>
    </w:p>
    <w:p w:rsidR="00975AB7" w:rsidRPr="00490B2E" w:rsidRDefault="001C70CA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  <w:r w:rsidRPr="00490B2E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975AB7" w:rsidRPr="00490B2E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Кому: _____________________________</w:t>
            </w:r>
          </w:p>
        </w:tc>
      </w:tr>
      <w:tr w:rsidR="00975AB7" w:rsidRPr="00490B2E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975AB7" w:rsidRPr="00490B2E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1C70CA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0B2E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975AB7" w:rsidRPr="00490B2E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Pr="00490B2E" w:rsidRDefault="00975AB7" w:rsidP="00490B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5AB7" w:rsidRPr="00490B2E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Pr="00490B2E" w:rsidRDefault="00975AB7" w:rsidP="00490B2E">
            <w:pP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ЗАЯВЛЕНИЕ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лесных участков, расположенных 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на землях населенных пунктов, в безвозмездное пользование без проведения торгов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Прошу предоставить лесной участок в безвозмездное пользование без проведения торгов,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расположенный в _________________________________________________, 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площадью _______________,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кадастровый номер 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Вид использования лесного участка: 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Срок использования лесного участка: 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Обоснование цели, вида и срока  использования лесного участка: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образовывался или его границы уточнялись на основании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Решения _____________________ от "___"__________ 20__ г. N 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(наименование органа)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Сведения о заявителе: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Для юридического лица  полное  и  сокращенно  наименование,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организационно-правовая форма заявителя, его  место  нахождения,  адрес,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реквизиты банковского счета 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Для гражданина (в  том   числе,   зарегистрированного   в   качестве</w:t>
      </w:r>
      <w:proofErr w:type="gramEnd"/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индивидуального предпринимателя) - фамилия, имя, отчество (при  наличии),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 жительства   (временного   проживания),   данные  документа,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удостоверяющего личность, реквизиты банковского счета __________________________________________________________________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Приложения: 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Подпись заявителя 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Дата ___________________</w:t>
      </w: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Форма № 2</w:t>
      </w: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лесного участка, расположенного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на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землях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населенных пунктов, в безвозмездное пользование без проведения торгов</w:t>
      </w: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1C70CA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  <w:r w:rsidRPr="00490B2E">
        <w:rPr>
          <w:rFonts w:ascii="Times New Roman" w:eastAsia="TimesNewRoman" w:hAnsi="Times New Roman" w:cs="Times New Roman"/>
          <w:sz w:val="28"/>
          <w:szCs w:val="28"/>
        </w:rPr>
        <w:t>_________________                                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Дата решения                                        Номер решения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безвозмездное пользование без проведения торгов».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Сведение об объекте: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кадастровый номер 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Срок действия договора - ________________ месяцев.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mesNewRoman" w:hAnsi="Times New Roman" w:cs="Times New Roman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</w:t>
      </w:r>
      <w:r w:rsidRPr="00490B2E">
        <w:rPr>
          <w:rFonts w:ascii="Times New Roman" w:eastAsia="TimesNewRoman" w:hAnsi="Times New Roman" w:cs="Times New Roman"/>
          <w:sz w:val="28"/>
          <w:szCs w:val="28"/>
        </w:rPr>
        <w:t>_______________</w:t>
      </w: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00040F" w:rsidRPr="00490B2E" w:rsidRDefault="0000040F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00040F" w:rsidRDefault="0000040F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490B2E" w:rsidRDefault="00490B2E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490B2E" w:rsidRPr="00490B2E" w:rsidRDefault="00490B2E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00040F" w:rsidRPr="00490B2E" w:rsidRDefault="0000040F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Форма № 3</w:t>
      </w: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об отказе в предоставлении Услуги</w:t>
      </w: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                                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Дата решения                                        Номер решения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об</w:t>
      </w:r>
      <w:proofErr w:type="gramEnd"/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отказе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в  предоставлении услуги  «Предоставление   лесных участков, расположенных на землях населенных пунктов, в безвозмездное пользование без проведения торгов» по следующим основаниям: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(перечень оснований для отказа)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Разъяснение причин отказа в предоставлении услуги: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0040F" w:rsidRPr="00490B2E" w:rsidRDefault="0000040F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90B2E" w:rsidRPr="00490B2E" w:rsidRDefault="00490B2E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Форма № 4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sz w:val="28"/>
          <w:szCs w:val="28"/>
        </w:rPr>
      </w:pP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согласия на обработку персональных данных</w:t>
      </w: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br/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 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В орган местного самоуправления.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(Ф.И.О.) 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субъекта персональных данных. 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жительства:__________________________________________ __________________________________________________________________.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</w:t>
      </w:r>
      <w:bookmarkStart w:id="5" w:name="_GoBack"/>
      <w:bookmarkEnd w:id="5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«О персональных данных».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975AB7" w:rsidRPr="00490B2E" w:rsidRDefault="001C70CA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490B2E">
        <w:rPr>
          <w:rFonts w:ascii="Times New Roman" w:eastAsia="Tinos" w:hAnsi="Times New Roman" w:cs="Times New Roman"/>
          <w:color w:val="000000"/>
          <w:sz w:val="28"/>
          <w:szCs w:val="28"/>
        </w:rPr>
        <w:t>(Ф.И.О. субъекта персональных данных)</w:t>
      </w:r>
    </w:p>
    <w:p w:rsidR="00975AB7" w:rsidRPr="00490B2E" w:rsidRDefault="00975AB7" w:rsidP="00490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975AB7" w:rsidRPr="00490B2E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975AB7" w:rsidRPr="00490B2E" w:rsidSect="00490B2E">
      <w:headerReference w:type="default" r:id="rId21"/>
      <w:pgSz w:w="11900" w:h="16800"/>
      <w:pgMar w:top="1134" w:right="850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7F" w:rsidRDefault="00EF1C7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EF1C7F" w:rsidRDefault="00EF1C7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7F" w:rsidRDefault="00EF1C7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EF1C7F" w:rsidRDefault="00EF1C7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B7" w:rsidRDefault="00975AB7" w:rsidP="00511A60">
    <w:pPr>
      <w:pStyle w:val="af5"/>
      <w:ind w:firstLine="0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97542"/>
    <w:multiLevelType w:val="hybridMultilevel"/>
    <w:tmpl w:val="779C1BEA"/>
    <w:lvl w:ilvl="0" w:tplc="2C460930">
      <w:start w:val="1"/>
      <w:numFmt w:val="bullet"/>
      <w:lvlText w:val="–"/>
      <w:lvlJc w:val="left"/>
      <w:pPr>
        <w:ind w:hanging="360"/>
      </w:pPr>
    </w:lvl>
    <w:lvl w:ilvl="1" w:tplc="C542FA6E">
      <w:start w:val="1"/>
      <w:numFmt w:val="bullet"/>
      <w:lvlText w:val="o"/>
      <w:lvlJc w:val="left"/>
      <w:pPr>
        <w:ind w:hanging="360"/>
      </w:pPr>
    </w:lvl>
    <w:lvl w:ilvl="2" w:tplc="1618FE2C">
      <w:start w:val="1"/>
      <w:numFmt w:val="bullet"/>
      <w:lvlText w:val="§"/>
      <w:lvlJc w:val="left"/>
      <w:pPr>
        <w:ind w:hanging="360"/>
      </w:pPr>
    </w:lvl>
    <w:lvl w:ilvl="3" w:tplc="666A585A">
      <w:start w:val="1"/>
      <w:numFmt w:val="bullet"/>
      <w:lvlText w:val="·"/>
      <w:lvlJc w:val="left"/>
      <w:pPr>
        <w:ind w:hanging="360"/>
      </w:pPr>
    </w:lvl>
    <w:lvl w:ilvl="4" w:tplc="D7580360">
      <w:start w:val="1"/>
      <w:numFmt w:val="bullet"/>
      <w:lvlText w:val="o"/>
      <w:lvlJc w:val="left"/>
      <w:pPr>
        <w:ind w:hanging="360"/>
      </w:pPr>
    </w:lvl>
    <w:lvl w:ilvl="5" w:tplc="BDE0F0EE">
      <w:start w:val="1"/>
      <w:numFmt w:val="bullet"/>
      <w:lvlText w:val="§"/>
      <w:lvlJc w:val="left"/>
      <w:pPr>
        <w:ind w:hanging="360"/>
      </w:pPr>
    </w:lvl>
    <w:lvl w:ilvl="6" w:tplc="A46E8DE4">
      <w:start w:val="1"/>
      <w:numFmt w:val="bullet"/>
      <w:lvlText w:val="·"/>
      <w:lvlJc w:val="left"/>
      <w:pPr>
        <w:ind w:hanging="360"/>
      </w:pPr>
    </w:lvl>
    <w:lvl w:ilvl="7" w:tplc="F6B07864">
      <w:start w:val="1"/>
      <w:numFmt w:val="bullet"/>
      <w:lvlText w:val="o"/>
      <w:lvlJc w:val="left"/>
      <w:pPr>
        <w:ind w:hanging="360"/>
      </w:pPr>
    </w:lvl>
    <w:lvl w:ilvl="8" w:tplc="F22C2224">
      <w:start w:val="1"/>
      <w:numFmt w:val="bullet"/>
      <w:lvlText w:val="§"/>
      <w:lvlJc w:val="left"/>
      <w:pPr>
        <w:ind w:hanging="360"/>
      </w:pPr>
    </w:lvl>
  </w:abstractNum>
  <w:abstractNum w:abstractNumId="1">
    <w:nsid w:val="7CDC4B8C"/>
    <w:multiLevelType w:val="hybridMultilevel"/>
    <w:tmpl w:val="E5C66DB2"/>
    <w:lvl w:ilvl="0" w:tplc="CB2E2880">
      <w:start w:val="1"/>
      <w:numFmt w:val="bullet"/>
      <w:lvlText w:val="·"/>
      <w:lvlJc w:val="left"/>
      <w:pPr>
        <w:ind w:hanging="360"/>
      </w:pPr>
    </w:lvl>
    <w:lvl w:ilvl="1" w:tplc="1AA8F9B8">
      <w:numFmt w:val="decimal"/>
      <w:lvlText w:val="o"/>
      <w:lvlJc w:val="left"/>
      <w:pPr>
        <w:ind w:left="0"/>
      </w:pPr>
    </w:lvl>
    <w:lvl w:ilvl="2" w:tplc="A1781B16">
      <w:numFmt w:val="decimal"/>
      <w:lvlText w:val="§"/>
      <w:lvlJc w:val="left"/>
      <w:pPr>
        <w:ind w:left="0"/>
      </w:pPr>
    </w:lvl>
    <w:lvl w:ilvl="3" w:tplc="885CD3BA">
      <w:numFmt w:val="decimal"/>
      <w:lvlText w:val="·"/>
      <w:lvlJc w:val="left"/>
      <w:pPr>
        <w:ind w:left="0"/>
      </w:pPr>
    </w:lvl>
    <w:lvl w:ilvl="4" w:tplc="38662746">
      <w:numFmt w:val="decimal"/>
      <w:lvlText w:val="o"/>
      <w:lvlJc w:val="left"/>
      <w:pPr>
        <w:ind w:left="0"/>
      </w:pPr>
    </w:lvl>
    <w:lvl w:ilvl="5" w:tplc="32BE09F4">
      <w:numFmt w:val="decimal"/>
      <w:lvlText w:val="§"/>
      <w:lvlJc w:val="left"/>
      <w:pPr>
        <w:ind w:left="0"/>
      </w:pPr>
    </w:lvl>
    <w:lvl w:ilvl="6" w:tplc="3C8653C0">
      <w:numFmt w:val="decimal"/>
      <w:lvlText w:val="·"/>
      <w:lvlJc w:val="left"/>
      <w:pPr>
        <w:ind w:left="0"/>
      </w:pPr>
    </w:lvl>
    <w:lvl w:ilvl="7" w:tplc="49547E18">
      <w:numFmt w:val="decimal"/>
      <w:lvlText w:val="o"/>
      <w:lvlJc w:val="left"/>
      <w:pPr>
        <w:ind w:left="0"/>
      </w:pPr>
    </w:lvl>
    <w:lvl w:ilvl="8" w:tplc="F1AABDF6">
      <w:numFmt w:val="decimal"/>
      <w:lvlText w:val="§"/>
      <w:lvlJc w:val="left"/>
      <w:pPr>
        <w:ind w:left="0"/>
      </w:pPr>
    </w:lvl>
  </w:abstractNum>
  <w:abstractNum w:abstractNumId="2">
    <w:nsid w:val="7F0A6684"/>
    <w:multiLevelType w:val="hybridMultilevel"/>
    <w:tmpl w:val="4AE22068"/>
    <w:lvl w:ilvl="0" w:tplc="B11AAA0E">
      <w:start w:val="1"/>
      <w:numFmt w:val="decimal"/>
      <w:lvlText w:val="%1."/>
      <w:lvlJc w:val="left"/>
      <w:pPr>
        <w:ind w:hanging="360"/>
      </w:pPr>
    </w:lvl>
    <w:lvl w:ilvl="1" w:tplc="89AE4C30">
      <w:start w:val="1"/>
      <w:numFmt w:val="lowerLetter"/>
      <w:lvlText w:val="%2."/>
      <w:lvlJc w:val="left"/>
      <w:pPr>
        <w:ind w:hanging="360"/>
      </w:pPr>
    </w:lvl>
    <w:lvl w:ilvl="2" w:tplc="38DE0506">
      <w:start w:val="1"/>
      <w:numFmt w:val="lowerRoman"/>
      <w:lvlText w:val="%3."/>
      <w:lvlJc w:val="right"/>
      <w:pPr>
        <w:ind w:hanging="180"/>
      </w:pPr>
    </w:lvl>
    <w:lvl w:ilvl="3" w:tplc="F404EAF4">
      <w:start w:val="1"/>
      <w:numFmt w:val="decimal"/>
      <w:lvlText w:val="%4."/>
      <w:lvlJc w:val="left"/>
      <w:pPr>
        <w:ind w:hanging="360"/>
      </w:pPr>
    </w:lvl>
    <w:lvl w:ilvl="4" w:tplc="1E949766">
      <w:start w:val="1"/>
      <w:numFmt w:val="lowerLetter"/>
      <w:lvlText w:val="%5."/>
      <w:lvlJc w:val="left"/>
      <w:pPr>
        <w:ind w:hanging="360"/>
      </w:pPr>
    </w:lvl>
    <w:lvl w:ilvl="5" w:tplc="88D6D8E6">
      <w:start w:val="1"/>
      <w:numFmt w:val="lowerRoman"/>
      <w:lvlText w:val="%6."/>
      <w:lvlJc w:val="right"/>
      <w:pPr>
        <w:ind w:hanging="180"/>
      </w:pPr>
    </w:lvl>
    <w:lvl w:ilvl="6" w:tplc="84F4FCFE">
      <w:start w:val="1"/>
      <w:numFmt w:val="decimal"/>
      <w:lvlText w:val="%7."/>
      <w:lvlJc w:val="left"/>
      <w:pPr>
        <w:ind w:hanging="360"/>
      </w:pPr>
    </w:lvl>
    <w:lvl w:ilvl="7" w:tplc="49D6F210">
      <w:start w:val="1"/>
      <w:numFmt w:val="lowerLetter"/>
      <w:lvlText w:val="%8."/>
      <w:lvlJc w:val="left"/>
      <w:pPr>
        <w:ind w:hanging="360"/>
      </w:pPr>
    </w:lvl>
    <w:lvl w:ilvl="8" w:tplc="E27C4FAE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AB7"/>
    <w:rsid w:val="0000040F"/>
    <w:rsid w:val="000D4ACC"/>
    <w:rsid w:val="001C70CA"/>
    <w:rsid w:val="00490B2E"/>
    <w:rsid w:val="00495313"/>
    <w:rsid w:val="00511A60"/>
    <w:rsid w:val="006713DA"/>
    <w:rsid w:val="00975AB7"/>
    <w:rsid w:val="00E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990941/27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4EAD-2EAE-478C-8817-03087F87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4706</Words>
  <Characters>26829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Компашка пк</cp:lastModifiedBy>
  <cp:revision>8</cp:revision>
  <cp:lastPrinted>2026-05-21T06:45:00Z</cp:lastPrinted>
  <dcterms:created xsi:type="dcterms:W3CDTF">2026-04-29T07:08:00Z</dcterms:created>
  <dcterms:modified xsi:type="dcterms:W3CDTF">2026-06-04T07:15:00Z</dcterms:modified>
</cp:coreProperties>
</file>