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W w:type="auto" w:w="0"/>
        <w:jc w:val="left"/>
        <w:tblInd w:type="dxa" w:w="0"/>
        <w:tblLayout w:type="fixed"/>
      </w:tblPr>
      <w:tblGrid>
        <w:gridCol w:w="624"/>
        <w:gridCol w:w="2127"/>
        <w:gridCol w:w="283"/>
        <w:gridCol w:w="1219"/>
        <w:gridCol w:w="1134"/>
        <w:gridCol w:w="4252"/>
      </w:tblGrid>
      <w:tr>
        <w:trPr>
          <w:trHeight w:hRule="exact" w:val="1020"/>
        </w:trPr>
        <w:tc>
          <w:tcPr>
            <w:tcW w:type="dxa" w:w="4253"/>
            <w:gridSpan w:val="4"/>
            <w:vMerge w:val="restart"/>
            <w:tcBorders>
              <w:top w:sz="4" w:val="nil"/>
              <w:left w:sz="4" w:val="nil"/>
              <w:bottom w:sz="4" w:val="nil"/>
              <w:right w:sz="4" w:val="nil"/>
            </w:tcBorders>
            <w:tcMar>
              <w:top w:type="dxa" w:w="0"/>
              <w:left w:type="dxa" w:w="28"/>
              <w:bottom w:type="dxa" w:w="0"/>
              <w:right w:type="dxa" w:w="28"/>
            </w:tcMar>
          </w:tcPr>
          <w:p w14:paraId="06000000">
            <w:pPr>
              <w:pStyle w:val="Style_3"/>
              <w:ind/>
              <w:jc w:val="left"/>
            </w:pPr>
            <w:bookmarkStart w:id="4" w:name="STAMPCORNER"/>
            <w:bookmarkEnd w:id="4"/>
            <w:sdt>
              <w:sdtPr>
                <w:lock w:val="sdtContentLocked"/>
              </w:sdtPr>
              <w:sdtContent>
                <w:r>
                  <w:drawing>
                    <wp:inline>
                      <wp:extent cx="2388870" cy="2680185"/>
                      <wp:effectExtent b="0" l="0" r="0" t="0"/>
                      <wp:docPr hidden="false" id="2" name="Picture 2"/>
                      <a:graphic>
                        <a:graphicData uri="http://schemas.openxmlformats.org/drawingml/2006/picture">
                          <pic:pic>
                            <pic:nvPicPr>
                              <pic:cNvPr hidden="false" id="1" name="Picture 1"/>
                              <pic:cNvPicPr preferRelativeResize="true"/>
                            </pic:nvPicPr>
                            <pic:blipFill>
                              <a:blip r:embed="rId3"/>
                              <a:stretch/>
                            </pic:blipFill>
                            <pic:spPr>
                              <a:xfrm flipH="false" flipV="false" rot="0">
                                <a:ext cx="2388870" cy="2680185"/>
                              </a:xfrm>
                              <a:prstGeom prst="rect"/>
                            </pic:spPr>
                          </pic:pic>
                        </a:graphicData>
                      </a:graphic>
                    </wp:inline>
                  </w:drawing>
                </w:r>
              </w:sdtContent>
            </w:sdt>
          </w:p>
        </w:tc>
        <w:tc>
          <w:tcPr>
            <w:tcW w:type="dxa" w:w="1134"/>
            <w:vMerge w:val="restart"/>
            <w:tcBorders>
              <w:top w:sz="4" w:val="nil"/>
              <w:left w:sz="4" w:val="nil"/>
              <w:bottom w:sz="4" w:val="nil"/>
              <w:right w:sz="4" w:val="nil"/>
            </w:tcBorders>
            <w:tcMar>
              <w:top w:type="dxa" w:w="0"/>
              <w:left w:type="dxa" w:w="28"/>
              <w:bottom w:type="dxa" w:w="0"/>
              <w:right w:type="dxa" w:w="28"/>
            </w:tcMar>
          </w:tcPr>
          <w:sdt>
            <w:sdtPr>
              <w:lock w:val="sdtContentLocked"/>
            </w:sdtPr>
            <w:sdtContent>
              <w:p w14:paraId="07000000">
                <w:pPr>
                  <w:pStyle w:val="Style_3"/>
                  <w:ind/>
                  <w:jc w:val="center"/>
                </w:pPr>
              </w:p>
            </w:sdtContent>
          </w:sdt>
        </w:tc>
        <w:tc>
          <w:tcPr>
            <w:tcW w:type="dxa" w:w="4252"/>
            <w:tcBorders>
              <w:top w:sz="4" w:val="nil"/>
              <w:left w:sz="4" w:val="nil"/>
              <w:bottom w:sz="4" w:val="nil"/>
              <w:right w:sz="4" w:val="nil"/>
            </w:tcBorders>
            <w:tcMar>
              <w:top w:type="dxa" w:w="0"/>
              <w:left w:type="dxa" w:w="28"/>
              <w:bottom w:type="dxa" w:w="0"/>
              <w:right w:type="dxa" w:w="28"/>
            </w:tcMar>
          </w:tcPr>
          <w:sdt>
            <w:sdtPr>
              <w:lock w:val="sdtContentLocked"/>
            </w:sdtPr>
            <w:sdtContent>
              <w:p w14:paraId="08000000">
                <w:pPr>
                  <w:pStyle w:val="Style_3"/>
                  <w:spacing w:before="240"/>
                  <w:ind/>
                </w:pPr>
              </w:p>
            </w:sdtContent>
          </w:sdt>
        </w:tc>
      </w:tr>
      <w:tr>
        <w:trPr>
          <w:trHeight w:hRule="exact" w:val="3160"/>
        </w:trPr>
        <w:tc>
          <w:tcPr>
            <w:tcW w:type="dxa" w:w="4253"/>
            <w:gridSpan w:val="4"/>
            <w:vMerge w:val="continue"/>
            <w:tcBorders>
              <w:top w:sz="4" w:val="nil"/>
              <w:left w:sz="4" w:val="nil"/>
              <w:bottom w:sz="4" w:val="nil"/>
              <w:right w:sz="4" w:val="nil"/>
            </w:tcBorders>
            <w:tcMar>
              <w:top w:type="dxa" w:w="0"/>
              <w:left w:type="dxa" w:w="28"/>
              <w:bottom w:type="dxa" w:w="0"/>
              <w:right w:type="dxa" w:w="28"/>
            </w:tcMar>
          </w:tcPr>
          <w:p/>
        </w:tc>
        <w:tc>
          <w:tcPr>
            <w:tcW w:type="dxa" w:w="1134"/>
            <w:gridSpan w:val="1"/>
            <w:vMerge w:val="continue"/>
            <w:tcBorders>
              <w:top w:sz="4" w:val="nil"/>
              <w:left w:sz="4" w:val="nil"/>
              <w:bottom w:sz="4" w:val="nil"/>
              <w:right w:sz="4" w:val="nil"/>
            </w:tcBorders>
            <w:tcMar>
              <w:top w:type="dxa" w:w="0"/>
              <w:left w:type="dxa" w:w="28"/>
              <w:bottom w:type="dxa" w:w="0"/>
              <w:right w:type="dxa" w:w="28"/>
            </w:tcMar>
          </w:tcPr>
          <w:p/>
        </w:tc>
        <w:tc>
          <w:tcPr>
            <w:tcW w:type="dxa" w:w="4252"/>
            <w:vMerge w:val="restart"/>
            <w:tcBorders>
              <w:top w:sz="4" w:val="nil"/>
              <w:left w:sz="4" w:val="nil"/>
              <w:bottom w:sz="4" w:val="nil"/>
              <w:right w:sz="4" w:val="nil"/>
            </w:tcBorders>
            <w:tcMar>
              <w:top w:type="dxa" w:w="0"/>
              <w:left w:type="dxa" w:w="28"/>
              <w:bottom w:type="dxa" w:w="0"/>
              <w:right w:type="dxa" w:w="28"/>
            </w:tcMar>
          </w:tcPr>
          <w:p w14:paraId="09000000">
            <w:pPr>
              <w:pStyle w:val="Style_3"/>
              <w:spacing w:line="240" w:lineRule="exact"/>
              <w:ind/>
            </w:pPr>
            <w:r>
              <w:rPr>
                <w:rFonts w:ascii="Times New Roman" w:hAnsi="Times New Roman"/>
                <w:sz w:val="28"/>
              </w:rPr>
              <w:t>Главам администраций муниципальных образований, находящихся на территории Беляевского района</w:t>
            </w:r>
          </w:p>
        </w:tc>
      </w:tr>
      <w:tr>
        <w:trPr>
          <w:trHeight w:hRule="exact" w:val="417"/>
        </w:trPr>
        <w:tc>
          <w:tcPr>
            <w:tcW w:type="dxa" w:w="4253"/>
            <w:gridSpan w:val="4"/>
            <w:tcBorders>
              <w:top w:sz="4" w:val="nil"/>
              <w:left w:sz="4" w:val="nil"/>
              <w:bottom w:color="000000" w:sz="4" w:val="nil"/>
              <w:right w:sz="4" w:val="nil"/>
            </w:tcBorders>
            <w:tcMar>
              <w:top w:type="dxa" w:w="0"/>
              <w:left w:type="dxa" w:w="28"/>
              <w:bottom w:type="dxa" w:w="0"/>
              <w:right w:type="dxa" w:w="28"/>
            </w:tcMar>
            <w:vAlign w:val="bottom"/>
          </w:tcPr>
          <w:sdt>
            <w:sdtPr>
              <w:lock w:val="sdtContentLocked"/>
            </w:sdtPr>
            <w:sdtContent>
              <w:p w14:paraId="0A000000">
                <w:pPr>
                  <w:pStyle w:val="Style_3"/>
                </w:pPr>
                <w:bookmarkStart w:id="5" w:name="REGNUMDATESTAMP"/>
                <w:r>
                  <w:rPr>
                    <w:rStyle w:val="Style_2_ch"/>
                    <w:color w:val="BFBFBF"/>
                    <w:sz w:val="20"/>
                  </w:rPr>
                  <w:t>данные о регистрации (автоматически)</w:t>
                </w:r>
                <w:bookmarkEnd w:id="5"/>
              </w:p>
            </w:sdtContent>
          </w:sdt>
        </w:tc>
        <w:tc>
          <w:tcPr>
            <w:tcW w:type="dxa" w:w="1134"/>
            <w:gridSpan w:val="1"/>
            <w:vMerge w:val="continue"/>
            <w:tcBorders>
              <w:top w:sz="4" w:val="nil"/>
              <w:left w:sz="4" w:val="nil"/>
              <w:bottom w:sz="4" w:val="nil"/>
              <w:right w:sz="4" w:val="nil"/>
            </w:tcBorders>
            <w:tcMar>
              <w:top w:type="dxa" w:w="0"/>
              <w:left w:type="dxa" w:w="28"/>
              <w:bottom w:type="dxa" w:w="0"/>
              <w:right w:type="dxa" w:w="28"/>
            </w:tcMar>
          </w:tcPr>
          <w:p/>
        </w:tc>
        <w:tc>
          <w:tcPr>
            <w:tcW w:type="dxa" w:w="4252"/>
            <w:gridSpan w:val="1"/>
            <w:vMerge w:val="continue"/>
            <w:tcBorders>
              <w:top w:sz="4" w:val="nil"/>
              <w:left w:sz="4" w:val="nil"/>
              <w:bottom w:sz="4" w:val="nil"/>
              <w:right w:sz="4" w:val="nil"/>
            </w:tcBorders>
            <w:tcMar>
              <w:top w:type="dxa" w:w="0"/>
              <w:left w:type="dxa" w:w="28"/>
              <w:bottom w:type="dxa" w:w="0"/>
              <w:right w:type="dxa" w:w="28"/>
            </w:tcMar>
          </w:tcPr>
          <w:p/>
        </w:tc>
      </w:tr>
      <w:tr>
        <w:trPr>
          <w:trHeight w:hRule="exact" w:val="680"/>
        </w:trPr>
        <w:tc>
          <w:tcPr>
            <w:tcW w:type="dxa" w:w="4253"/>
            <w:gridSpan w:val="4"/>
            <w:tcBorders>
              <w:top w:color="000000" w:sz="4" w:val="nil"/>
              <w:left w:color="000000" w:sz="4" w:val="nil"/>
              <w:bottom w:color="000000" w:sz="4" w:val="nil"/>
              <w:right w:color="000000" w:sz="4" w:val="nil"/>
            </w:tcBorders>
            <w:tcMar>
              <w:top w:type="dxa" w:w="0"/>
              <w:left w:type="dxa" w:w="28"/>
              <w:bottom w:type="dxa" w:w="0"/>
              <w:right w:type="dxa" w:w="28"/>
            </w:tcMar>
            <w:vAlign w:val="bottom"/>
          </w:tcPr>
          <w:p/>
        </w:tc>
        <w:tc>
          <w:tcPr>
            <w:tcW w:type="dxa" w:w="1134"/>
            <w:gridSpan w:val="1"/>
            <w:vMerge w:val="continue"/>
            <w:tcBorders>
              <w:top w:sz="4" w:val="nil"/>
              <w:left w:sz="4" w:val="nil"/>
              <w:bottom w:sz="4" w:val="nil"/>
              <w:right w:sz="4" w:val="nil"/>
            </w:tcBorders>
            <w:tcMar>
              <w:top w:type="dxa" w:w="0"/>
              <w:left w:type="dxa" w:w="28"/>
              <w:bottom w:type="dxa" w:w="0"/>
              <w:right w:type="dxa" w:w="28"/>
            </w:tcMar>
          </w:tcPr>
          <w:p/>
        </w:tc>
        <w:tc>
          <w:tcPr>
            <w:tcW w:type="dxa" w:w="4252"/>
            <w:gridSpan w:val="1"/>
            <w:vMerge w:val="continue"/>
            <w:tcBorders>
              <w:top w:sz="4" w:val="nil"/>
              <w:left w:sz="4" w:val="nil"/>
              <w:bottom w:sz="4" w:val="nil"/>
              <w:right w:sz="4" w:val="nil"/>
            </w:tcBorders>
            <w:tcMar>
              <w:top w:type="dxa" w:w="0"/>
              <w:left w:type="dxa" w:w="28"/>
              <w:bottom w:type="dxa" w:w="0"/>
              <w:right w:type="dxa" w:w="28"/>
            </w:tcMar>
          </w:tcPr>
          <w:p/>
        </w:tc>
      </w:tr>
    </w:tbl>
    <w:p w14:paraId="0B000000">
      <w:pPr>
        <w:spacing w:after="0" w:line="240" w:lineRule="auto"/>
        <w:ind w:firstLine="708" w:left="0"/>
        <w:jc w:val="both"/>
        <w:rPr>
          <w:rFonts w:ascii="Times New Roman" w:hAnsi="Times New Roman"/>
          <w:sz w:val="28"/>
        </w:rPr>
      </w:pPr>
      <w:r>
        <w:rPr>
          <w:rFonts w:ascii="Times New Roman" w:hAnsi="Times New Roman"/>
          <w:sz w:val="28"/>
        </w:rPr>
        <w:t>Прошу Вас</w:t>
      </w:r>
      <w:r>
        <w:rPr>
          <w:rFonts w:ascii="Times New Roman" w:hAnsi="Times New Roman"/>
          <w:sz w:val="28"/>
        </w:rPr>
        <w:t xml:space="preserve"> разместить на официальном сайте муниципального образования </w:t>
      </w:r>
      <w:r>
        <w:rPr>
          <w:rFonts w:ascii="Times New Roman" w:hAnsi="Times New Roman"/>
          <w:sz w:val="28"/>
        </w:rPr>
        <w:t>приложенную к настоящему письму информацию разъяснительного характера</w:t>
      </w:r>
      <w:r>
        <w:rPr>
          <w:rFonts w:ascii="Times New Roman" w:hAnsi="Times New Roman"/>
          <w:sz w:val="28"/>
        </w:rPr>
        <w:t>. Кроме того,</w:t>
      </w:r>
      <w:r>
        <w:rPr>
          <w:rFonts w:ascii="Times New Roman" w:hAnsi="Times New Roman"/>
          <w:b w:val="0"/>
          <w:caps w:val="0"/>
          <w:sz w:val="28"/>
          <w:u w:val="none"/>
        </w:rPr>
        <w:t xml:space="preserve"> </w:t>
      </w:r>
      <w:r>
        <w:rPr>
          <w:rFonts w:ascii="Times New Roman" w:hAnsi="Times New Roman"/>
          <w:b w:val="0"/>
          <w:caps w:val="0"/>
          <w:sz w:val="28"/>
          <w:u w:val="none"/>
        </w:rPr>
        <w:t>в ближайшее время</w:t>
      </w:r>
      <w:r>
        <w:rPr>
          <w:rFonts w:ascii="Times New Roman" w:hAnsi="Times New Roman"/>
          <w:sz w:val="28"/>
        </w:rPr>
        <w:t xml:space="preserve"> прошу разместить указанный материал в газете сельсовета.</w:t>
      </w:r>
    </w:p>
    <w:p w14:paraId="0C000000">
      <w:pPr>
        <w:spacing w:after="0" w:line="240" w:lineRule="auto"/>
        <w:ind w:firstLine="708" w:left="0"/>
        <w:jc w:val="both"/>
        <w:rPr>
          <w:rFonts w:ascii="Times New Roman" w:hAnsi="Times New Roman"/>
          <w:sz w:val="28"/>
        </w:rPr>
      </w:pPr>
      <w:r>
        <w:rPr>
          <w:rFonts w:ascii="Times New Roman" w:hAnsi="Times New Roman"/>
          <w:sz w:val="28"/>
        </w:rPr>
        <w:t xml:space="preserve">О проделанной работе </w:t>
      </w:r>
      <w:r>
        <w:rPr>
          <w:rFonts w:ascii="Times New Roman" w:hAnsi="Times New Roman"/>
          <w:sz w:val="28"/>
        </w:rPr>
        <w:t>прошу</w:t>
      </w:r>
      <w:r>
        <w:rPr>
          <w:rFonts w:ascii="Times New Roman" w:hAnsi="Times New Roman"/>
          <w:sz w:val="28"/>
        </w:rPr>
        <w:t xml:space="preserve"> сообщить в прокуратуру района </w:t>
      </w:r>
      <w:r>
        <w:rPr>
          <w:rFonts w:ascii="Times New Roman" w:hAnsi="Times New Roman"/>
          <w:sz w:val="28"/>
        </w:rPr>
        <w:br/>
      </w:r>
      <w:r>
        <w:rPr>
          <w:rFonts w:ascii="Times New Roman" w:hAnsi="Times New Roman"/>
          <w:sz w:val="28"/>
        </w:rPr>
        <w:t>с приложением снимка страницы официального сайта в сети Интернет</w:t>
      </w:r>
      <w:r>
        <w:rPr>
          <w:rFonts w:ascii="Times New Roman" w:hAnsi="Times New Roman"/>
          <w:sz w:val="28"/>
        </w:rPr>
        <w:t>, а также страницы газеты.</w:t>
      </w:r>
      <w:r>
        <w:rPr>
          <w:rFonts w:ascii="Times New Roman" w:hAnsi="Times New Roman"/>
          <w:sz w:val="28"/>
        </w:rPr>
        <w:t xml:space="preserve"> </w:t>
      </w:r>
    </w:p>
    <w:p w14:paraId="0D000000">
      <w:pPr>
        <w:spacing w:after="0" w:line="240" w:lineRule="auto"/>
        <w:ind w:firstLine="708" w:left="0"/>
        <w:jc w:val="both"/>
        <w:rPr>
          <w:rFonts w:ascii="Times New Roman" w:hAnsi="Times New Roman"/>
          <w:sz w:val="28"/>
        </w:rPr>
      </w:pPr>
    </w:p>
    <w:p w14:paraId="0E000000">
      <w:pPr>
        <w:pStyle w:val="Style_3"/>
        <w:ind w:firstLine="709" w:left="0"/>
        <w:jc w:val="both"/>
      </w:pPr>
      <w:r>
        <w:rPr>
          <w:rFonts w:ascii="Times New Roman" w:hAnsi="Times New Roman"/>
          <w:sz w:val="28"/>
        </w:rPr>
        <w:t>Приложение: статья на 5 л.</w:t>
      </w:r>
    </w:p>
    <w:p w14:paraId="0F000000">
      <w:pPr>
        <w:pStyle w:val="Style_3"/>
        <w:ind w:firstLine="709" w:left="0"/>
        <w:jc w:val="both"/>
      </w:pPr>
    </w:p>
    <w:p w14:paraId="10000000">
      <w:pPr>
        <w:pStyle w:val="Style_3"/>
        <w:spacing w:line="240" w:lineRule="exact"/>
        <w:ind/>
      </w:pPr>
    </w:p>
    <w:p w14:paraId="11000000">
      <w:pPr>
        <w:pStyle w:val="Style_3"/>
        <w:spacing w:line="240" w:lineRule="exact"/>
        <w:ind/>
      </w:pPr>
    </w:p>
    <w:tbl>
      <w:tblPr>
        <w:tblW w:type="auto" w:w="0"/>
        <w:jc w:val="left"/>
        <w:tblInd w:type="dxa" w:w="0"/>
        <w:tblLayout w:type="fixed"/>
      </w:tblPr>
      <w:tblGrid>
        <w:gridCol w:w="4395"/>
        <w:gridCol w:w="5495"/>
      </w:tblGrid>
      <w:tr>
        <w:tc>
          <w:tcPr>
            <w:tcW w:type="dxa" w:w="4395"/>
            <w:tcBorders>
              <w:top w:sz="4" w:val="nil"/>
              <w:left w:sz="4" w:val="nil"/>
              <w:bottom w:sz="4" w:val="nil"/>
              <w:right w:sz="4" w:val="nil"/>
            </w:tcBorders>
            <w:tcMar>
              <w:top w:type="dxa" w:w="0"/>
              <w:left w:type="dxa" w:w="0"/>
              <w:bottom w:type="dxa" w:w="0"/>
              <w:right w:type="dxa" w:w="0"/>
            </w:tcMar>
            <w:vAlign w:val="bottom"/>
          </w:tcPr>
          <w:p w14:paraId="12000000">
            <w:pPr>
              <w:pStyle w:val="Style_3"/>
              <w:spacing w:line="240" w:lineRule="exact"/>
              <w:ind/>
            </w:pPr>
            <w:r>
              <w:t>Прокурор района</w:t>
            </w:r>
          </w:p>
        </w:tc>
        <w:tc>
          <w:tcPr>
            <w:tcW w:type="dxa" w:w="5495"/>
            <w:tcBorders>
              <w:top w:sz="4" w:val="nil"/>
              <w:left w:sz="4" w:val="nil"/>
              <w:bottom w:sz="4" w:val="nil"/>
              <w:right w:sz="4" w:val="nil"/>
            </w:tcBorders>
            <w:tcMar>
              <w:top w:type="dxa" w:w="0"/>
              <w:left w:type="dxa" w:w="108"/>
              <w:bottom w:type="dxa" w:w="0"/>
              <w:right w:type="dxa" w:w="108"/>
            </w:tcMar>
            <w:vAlign w:val="bottom"/>
          </w:tcPr>
          <w:sdt>
            <w:sdtPr>
              <w:lock w:val="sdtContentLocked"/>
            </w:sdtPr>
            <w:sdtContent>
              <w:p w14:paraId="13000000">
                <w:pPr>
                  <w:pStyle w:val="Style_3"/>
                  <w:spacing w:line="240" w:lineRule="exact"/>
                  <w:ind/>
                  <w:jc w:val="right"/>
                </w:pPr>
              </w:p>
            </w:sdtContent>
          </w:sdt>
        </w:tc>
      </w:tr>
      <w:tr>
        <w:tc>
          <w:tcPr>
            <w:tcW w:type="dxa" w:w="4395"/>
            <w:tcBorders>
              <w:top w:sz="4" w:val="nil"/>
              <w:left w:sz="4" w:val="nil"/>
              <w:bottom w:sz="4" w:val="nil"/>
              <w:right w:sz="4" w:val="nil"/>
            </w:tcBorders>
            <w:tcMar>
              <w:top w:type="dxa" w:w="0"/>
              <w:left w:type="dxa" w:w="0"/>
              <w:bottom w:type="dxa" w:w="0"/>
              <w:right w:type="dxa" w:w="0"/>
            </w:tcMar>
            <w:vAlign w:val="bottom"/>
          </w:tcPr>
          <w:p w14:paraId="14000000">
            <w:pPr>
              <w:pStyle w:val="Style_3"/>
              <w:spacing w:line="240" w:lineRule="exact"/>
              <w:ind/>
            </w:pPr>
          </w:p>
        </w:tc>
        <w:tc>
          <w:tcPr>
            <w:tcW w:type="dxa" w:w="5495"/>
            <w:tcBorders>
              <w:top w:sz="4" w:val="nil"/>
              <w:left w:sz="4" w:val="nil"/>
              <w:bottom w:sz="4" w:val="nil"/>
              <w:right w:sz="4" w:val="nil"/>
            </w:tcBorders>
            <w:tcMar>
              <w:top w:type="dxa" w:w="0"/>
              <w:left w:type="dxa" w:w="108"/>
              <w:bottom w:type="dxa" w:w="0"/>
              <w:right w:type="dxa" w:w="108"/>
            </w:tcMar>
            <w:vAlign w:val="bottom"/>
          </w:tcPr>
          <w:sdt>
            <w:sdtPr>
              <w:lock w:val="sdtContentLocked"/>
            </w:sdtPr>
            <w:sdtContent>
              <w:p w14:paraId="15000000">
                <w:pPr>
                  <w:pStyle w:val="Style_3"/>
                  <w:spacing w:line="240" w:lineRule="exact"/>
                  <w:ind/>
                  <w:jc w:val="right"/>
                </w:pPr>
              </w:p>
            </w:sdtContent>
          </w:sdt>
        </w:tc>
      </w:tr>
      <w:tr>
        <w:tc>
          <w:tcPr>
            <w:tcW w:type="dxa" w:w="4395"/>
            <w:tcBorders>
              <w:top w:sz="4" w:val="nil"/>
              <w:left w:sz="4" w:val="nil"/>
              <w:bottom w:sz="4" w:val="nil"/>
              <w:right w:sz="4" w:val="nil"/>
            </w:tcBorders>
            <w:tcMar>
              <w:top w:type="dxa" w:w="0"/>
              <w:left w:type="dxa" w:w="0"/>
              <w:bottom w:type="dxa" w:w="0"/>
              <w:right w:type="dxa" w:w="0"/>
            </w:tcMar>
            <w:vAlign w:val="bottom"/>
          </w:tcPr>
          <w:p w14:paraId="16000000">
            <w:pPr>
              <w:pStyle w:val="Style_3"/>
              <w:spacing w:line="240" w:lineRule="exact"/>
              <w:ind/>
            </w:pPr>
            <w:r>
              <w:t>старший советник юстиции</w:t>
            </w:r>
          </w:p>
        </w:tc>
        <w:tc>
          <w:tcPr>
            <w:tcW w:type="dxa" w:w="5495"/>
            <w:tcBorders>
              <w:top w:sz="4" w:val="nil"/>
              <w:left w:sz="4" w:val="nil"/>
              <w:bottom w:sz="4" w:val="nil"/>
              <w:right w:sz="4" w:val="nil"/>
            </w:tcBorders>
            <w:tcMar>
              <w:top w:type="dxa" w:w="0"/>
              <w:left w:type="dxa" w:w="108"/>
              <w:bottom w:type="dxa" w:w="0"/>
              <w:right w:type="dxa" w:w="108"/>
            </w:tcMar>
            <w:vAlign w:val="bottom"/>
          </w:tcPr>
          <w:sdt>
            <w:sdtPr>
              <w:lock w:val="sdtContentLocked"/>
            </w:sdtPr>
            <w:sdtContent>
              <w:p w14:paraId="17000000">
                <w:pPr>
                  <w:pStyle w:val="Style_3"/>
                  <w:spacing w:line="240" w:lineRule="exact"/>
                  <w:ind w:right="-110"/>
                  <w:jc w:val="right"/>
                </w:pPr>
                <w:bookmarkStart w:id="6" w:name="SIGNERNAME1"/>
                <w:r>
                  <w:rPr>
                    <w:rStyle w:val="Style_2_ch"/>
                  </w:rPr>
                  <w:t>ИОФ подписанта</w:t>
                </w:r>
                <w:bookmarkEnd w:id="6"/>
              </w:p>
            </w:sdtContent>
          </w:sdt>
        </w:tc>
      </w:tr>
      <w:tr>
        <w:trPr>
          <w:trHeight w:hRule="atLeast" w:val="1701"/>
        </w:trPr>
        <w:tc>
          <w:tcPr>
            <w:tcW w:type="dxa" w:w="9890"/>
            <w:gridSpan w:val="2"/>
            <w:tcBorders>
              <w:top w:sz="4" w:val="nil"/>
              <w:left w:sz="4" w:val="nil"/>
              <w:bottom w:sz="4" w:val="nil"/>
              <w:right w:sz="4" w:val="nil"/>
            </w:tcBorders>
            <w:tcMar>
              <w:top w:type="dxa" w:w="0"/>
              <w:left w:type="dxa" w:w="0"/>
              <w:bottom w:type="dxa" w:w="0"/>
              <w:right w:type="dxa" w:w="0"/>
            </w:tcMar>
          </w:tcPr>
          <w:p w14:paraId="18000000">
            <w:pPr>
              <w:pStyle w:val="Style_3"/>
              <w:spacing w:before="240"/>
              <w:ind w:firstLine="0" w:left="142" w:right="147"/>
              <w:jc w:val="center"/>
            </w:pPr>
            <w:bookmarkStart w:id="7" w:name="SIGNERSTAMP1"/>
            <w:r>
              <w:rPr>
                <w:rStyle w:val="Style_2_ch"/>
                <w:color w:val="D9D9D9"/>
              </w:rPr>
              <w:t>штамп подписи</w:t>
            </w:r>
            <w:bookmarkEnd w:id="7"/>
          </w:p>
        </w:tc>
      </w:tr>
    </w:tbl>
    <w:p w14:paraId="19000000">
      <w:pPr>
        <w:pStyle w:val="Style_3"/>
        <w:spacing w:before="240"/>
        <w:ind/>
        <w:rPr>
          <w:color w:val="D9D9D9"/>
        </w:rPr>
      </w:pPr>
    </w:p>
    <w:p w14:paraId="1A000000">
      <w:pPr>
        <w:pStyle w:val="Style_3"/>
        <w:spacing w:before="240"/>
        <w:ind/>
        <w:rPr>
          <w:color w:val="D9D9D9"/>
          <w:sz w:val="20"/>
        </w:rPr>
      </w:pPr>
    </w:p>
    <w:p w14:paraId="1B000000">
      <w:pPr>
        <w:pStyle w:val="Style_3"/>
        <w:spacing w:before="240"/>
        <w:ind/>
        <w:rPr>
          <w:color w:val="D9D9D9"/>
          <w:sz w:val="20"/>
        </w:rPr>
      </w:pPr>
    </w:p>
    <w:p w14:paraId="1C000000">
      <w:pPr>
        <w:pStyle w:val="Style_3"/>
        <w:spacing w:before="240"/>
        <w:ind/>
        <w:rPr>
          <w:color w:val="D9D9D9"/>
          <w:sz w:val="20"/>
        </w:rPr>
      </w:pPr>
    </w:p>
    <w:p w14:paraId="1D000000">
      <w:pPr>
        <w:pStyle w:val="Style_3"/>
        <w:spacing w:before="240"/>
        <w:ind/>
        <w:rPr>
          <w:color w:val="D9D9D9"/>
          <w:sz w:val="20"/>
        </w:rPr>
      </w:pPr>
    </w:p>
    <w:p w14:paraId="1E000000">
      <w:pPr>
        <w:pStyle w:val="Style_3"/>
        <w:spacing w:before="240"/>
        <w:ind/>
        <w:rPr>
          <w:color w:val="D9D9D9"/>
          <w:sz w:val="20"/>
        </w:rPr>
      </w:pPr>
      <w:r>
        <w:rPr>
          <w:rStyle w:val="Style_2_ch"/>
          <w:sz w:val="20"/>
        </w:rPr>
        <w:t>А.А. Гладышева, тел. 8(35334) 2-17-08</w:t>
      </w:r>
    </w:p>
    <w:p w14:paraId="1F000000">
      <w:pPr>
        <w:pStyle w:val="Style_3"/>
        <w:spacing w:before="240"/>
        <w:ind/>
        <w:rPr>
          <w:color w:val="D9D9D9"/>
          <w:sz w:val="20"/>
        </w:rPr>
      </w:pPr>
    </w:p>
    <w:p w14:paraId="20000000">
      <w:pPr>
        <w:spacing w:after="0" w:line="240" w:lineRule="auto"/>
        <w:ind w:firstLine="709" w:left="0"/>
        <w:jc w:val="both"/>
        <w:rPr>
          <w:rFonts w:ascii="Times New Roman" w:hAnsi="Times New Roman"/>
          <w:b w:val="1"/>
          <w:color w:val="000000"/>
          <w:sz w:val="28"/>
        </w:rPr>
      </w:pPr>
      <w:r>
        <w:rPr>
          <w:rFonts w:ascii="Times New Roman" w:hAnsi="Times New Roman"/>
          <w:b w:val="1"/>
          <w:color w:val="000000"/>
          <w:sz w:val="28"/>
        </w:rPr>
        <w:t>Правительством установлен перечень документов, удостоверяющих личность гражданина РФ, которые могут быть предъявлены с использованием мобильного приложения Единого портала государственных услуг</w:t>
      </w:r>
    </w:p>
    <w:p w14:paraId="21000000">
      <w:pPr>
        <w:spacing w:after="0" w:line="240" w:lineRule="auto"/>
        <w:ind w:firstLine="709" w:left="0"/>
        <w:jc w:val="both"/>
        <w:rPr>
          <w:rFonts w:ascii="Times New Roman" w:hAnsi="Times New Roman"/>
          <w:b w:val="1"/>
          <w:color w:val="000000"/>
          <w:sz w:val="28"/>
        </w:rPr>
      </w:pPr>
    </w:p>
    <w:p w14:paraId="22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Правительством Российской Федерации 19.09.2025 принято постановление № 1443 «О применении мобильного приложения федеральной государственной информационной системы «Единый портал государственных и муниципальных услуг (функций)» в целях представления гражданами Российской Федерации сведений, содержащихся в документах, удостоверяющих личность гражданина Российской Федерации, либо иных документах, выданных гражданам Российской Федерации государственными органами Российской Федерации» (далее </w:t>
      </w:r>
      <w:r>
        <w:rPr>
          <w:rFonts w:ascii="Times New Roman" w:hAnsi="Times New Roman"/>
          <w:color w:val="000000"/>
          <w:spacing w:val="0"/>
          <w:sz w:val="28"/>
        </w:rPr>
        <w:t>– постановление</w:t>
      </w:r>
      <w:r>
        <w:rPr>
          <w:rFonts w:ascii="Times New Roman" w:hAnsi="Times New Roman"/>
          <w:color w:val="000000"/>
          <w:sz w:val="28"/>
        </w:rPr>
        <w:t>).</w:t>
      </w:r>
    </w:p>
    <w:p w14:paraId="23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Cогласно постановлению п</w:t>
      </w:r>
      <w:r>
        <w:rPr>
          <w:rFonts w:ascii="Times New Roman" w:hAnsi="Times New Roman"/>
          <w:color w:val="000000"/>
          <w:sz w:val="28"/>
        </w:rPr>
        <w:t>редъявлять паспорт гражданина РФ через мобильное приложение ЕПГУ можно, в частности, для:</w:t>
      </w:r>
    </w:p>
    <w:p w14:paraId="24000000">
      <w:pPr>
        <w:spacing w:after="0" w:line="240" w:lineRule="auto"/>
        <w:ind w:firstLine="709" w:left="0"/>
        <w:jc w:val="both"/>
        <w:rPr>
          <w:rFonts w:ascii="Times New Roman" w:hAnsi="Times New Roman"/>
          <w:color w:val="000000"/>
          <w:sz w:val="28"/>
        </w:rPr>
      </w:pPr>
      <w:r>
        <w:rPr>
          <w:rFonts w:ascii="Times New Roman" w:hAnsi="Times New Roman"/>
          <w:color w:val="000000"/>
          <w:spacing w:val="0"/>
          <w:sz w:val="28"/>
        </w:rPr>
        <w:t>–</w:t>
      </w:r>
      <w:r>
        <w:rPr>
          <w:rFonts w:ascii="Times New Roman" w:hAnsi="Times New Roman"/>
          <w:color w:val="000000"/>
          <w:sz w:val="28"/>
        </w:rPr>
        <w:t xml:space="preserve"> подтверждения возраста покупателя алкогольной продукции, табачной продукции или </w:t>
      </w:r>
      <w:r>
        <w:rPr>
          <w:rFonts w:ascii="Times New Roman" w:hAnsi="Times New Roman"/>
          <w:color w:val="000000"/>
          <w:sz w:val="28"/>
        </w:rPr>
        <w:t>никотинсодержащей</w:t>
      </w:r>
      <w:r>
        <w:rPr>
          <w:rFonts w:ascii="Times New Roman" w:hAnsi="Times New Roman"/>
          <w:color w:val="000000"/>
          <w:sz w:val="28"/>
        </w:rPr>
        <w:t xml:space="preserve"> продукции, безалкогольных тонизирующих или безалкогольных энергетических напитков, кальянов и устройств для потребления </w:t>
      </w:r>
      <w:r>
        <w:rPr>
          <w:rFonts w:ascii="Times New Roman" w:hAnsi="Times New Roman"/>
          <w:color w:val="000000"/>
          <w:sz w:val="28"/>
        </w:rPr>
        <w:t>никотинсодержащей</w:t>
      </w:r>
      <w:r>
        <w:rPr>
          <w:rFonts w:ascii="Times New Roman" w:hAnsi="Times New Roman"/>
          <w:color w:val="000000"/>
          <w:sz w:val="28"/>
        </w:rPr>
        <w:t xml:space="preserve"> продукции, пиротехнических изделий и сжиженного газа;</w:t>
      </w:r>
    </w:p>
    <w:p w14:paraId="25000000">
      <w:pPr>
        <w:spacing w:after="0" w:line="240" w:lineRule="auto"/>
        <w:ind w:firstLine="709" w:left="0"/>
        <w:jc w:val="both"/>
        <w:rPr>
          <w:rFonts w:ascii="Times New Roman" w:hAnsi="Times New Roman"/>
          <w:color w:val="000000"/>
          <w:sz w:val="28"/>
        </w:rPr>
      </w:pPr>
      <w:r>
        <w:rPr>
          <w:rFonts w:ascii="Times New Roman" w:hAnsi="Times New Roman"/>
          <w:color w:val="000000"/>
          <w:spacing w:val="0"/>
          <w:sz w:val="28"/>
        </w:rPr>
        <w:t>–</w:t>
      </w:r>
      <w:r>
        <w:rPr>
          <w:rFonts w:ascii="Times New Roman" w:hAnsi="Times New Roman"/>
          <w:color w:val="000000"/>
          <w:sz w:val="28"/>
        </w:rPr>
        <w:t xml:space="preserve"> подтверждения возраста посетителя музея и зрелищного мероприятия;</w:t>
      </w:r>
    </w:p>
    <w:p w14:paraId="26000000">
      <w:pPr>
        <w:spacing w:after="0" w:line="240" w:lineRule="auto"/>
        <w:ind w:firstLine="709" w:left="0"/>
        <w:jc w:val="both"/>
        <w:rPr>
          <w:rFonts w:ascii="Times New Roman" w:hAnsi="Times New Roman"/>
          <w:color w:val="000000"/>
          <w:sz w:val="28"/>
        </w:rPr>
      </w:pPr>
      <w:r>
        <w:rPr>
          <w:rFonts w:ascii="Times New Roman" w:hAnsi="Times New Roman"/>
          <w:color w:val="000000"/>
          <w:spacing w:val="0"/>
          <w:sz w:val="28"/>
        </w:rPr>
        <w:t>–</w:t>
      </w:r>
      <w:r>
        <w:rPr>
          <w:rFonts w:ascii="Times New Roman" w:hAnsi="Times New Roman"/>
          <w:color w:val="000000"/>
          <w:sz w:val="28"/>
        </w:rPr>
        <w:t xml:space="preserve"> установления личности гражданина РФ - отправителя или адресата (уполномоченного представителя) при приеме регистрируемых почтовых отправлений, при вручении регистрируемых почтовых отправлений и простых почтовых отправлений, адресованных до востребования.</w:t>
      </w:r>
      <w:r>
        <w:rPr>
          <w:rFonts w:ascii="Times New Roman" w:hAnsi="Times New Roman"/>
          <w:color w:val="000000"/>
          <w:sz w:val="28"/>
        </w:rPr>
        <w:br/>
      </w:r>
      <w:r>
        <w:rPr>
          <w:rFonts w:ascii="Times New Roman" w:hAnsi="Times New Roman"/>
          <w:color w:val="000000"/>
          <w:sz w:val="28"/>
        </w:rPr>
        <w:t>В дальнейшем граждане РФ смогут предъявлять паспорт РФ с помощью мобильного приложения ЕПГУ и в иных предусмотренных постановлением случаях.</w:t>
      </w:r>
    </w:p>
    <w:p w14:paraId="27000000">
      <w:pPr>
        <w:spacing w:after="0" w:line="240" w:lineRule="auto"/>
        <w:ind w:firstLine="709" w:left="0"/>
        <w:jc w:val="both"/>
        <w:rPr>
          <w:rFonts w:ascii="Times New Roman" w:hAnsi="Times New Roman"/>
          <w:color w:val="000000"/>
          <w:sz w:val="28"/>
        </w:rPr>
      </w:pPr>
    </w:p>
    <w:p w14:paraId="28000000">
      <w:pPr>
        <w:spacing w:after="0" w:line="240" w:lineRule="auto"/>
        <w:ind w:firstLine="709" w:left="0"/>
        <w:jc w:val="both"/>
        <w:rPr>
          <w:rFonts w:ascii="Times New Roman" w:hAnsi="Times New Roman"/>
          <w:color w:val="000000"/>
          <w:sz w:val="28"/>
        </w:rPr>
      </w:pPr>
    </w:p>
    <w:p w14:paraId="29000000">
      <w:pPr>
        <w:spacing w:after="0" w:line="240" w:lineRule="auto"/>
        <w:ind w:firstLine="709" w:left="0"/>
        <w:jc w:val="both"/>
        <w:rPr>
          <w:rFonts w:ascii="Times New Roman" w:hAnsi="Times New Roman"/>
          <w:b w:val="1"/>
          <w:color w:val="000000"/>
          <w:sz w:val="28"/>
        </w:rPr>
      </w:pPr>
      <w:r>
        <w:rPr>
          <w:rFonts w:ascii="Times New Roman" w:hAnsi="Times New Roman"/>
          <w:b w:val="1"/>
          <w:color w:val="000000"/>
          <w:sz w:val="28"/>
        </w:rPr>
        <w:t>Федеральным законом расширены основания прекращения гражданства Российской Федерации</w:t>
      </w:r>
    </w:p>
    <w:p w14:paraId="2A000000">
      <w:pPr>
        <w:spacing w:after="0" w:line="240" w:lineRule="auto"/>
        <w:ind w:firstLine="709" w:left="0"/>
        <w:jc w:val="both"/>
        <w:rPr>
          <w:rFonts w:ascii="Times New Roman" w:hAnsi="Times New Roman"/>
          <w:color w:val="000000"/>
          <w:sz w:val="28"/>
        </w:rPr>
      </w:pPr>
    </w:p>
    <w:p w14:paraId="2B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С 11.08.2025 внесены изменения в статью 24 Федерального закона «О гражданстве Российской Федерации», которыми расширены основания прекращения гражданства Российской Федерации вследствие совершения преступления.</w:t>
      </w:r>
    </w:p>
    <w:p w14:paraId="2C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Законом предусмотрено прекращение ранее приобретенного гражданства России в отношении лиц, совершивших на территории страны одно из следующих преступлений:</w:t>
      </w:r>
    </w:p>
    <w:p w14:paraId="2D000000">
      <w:pPr>
        <w:spacing w:after="0" w:line="240" w:lineRule="auto"/>
        <w:ind w:firstLine="709" w:left="0"/>
        <w:jc w:val="both"/>
        <w:rPr>
          <w:rFonts w:ascii="Times New Roman" w:hAnsi="Times New Roman"/>
          <w:color w:val="000000"/>
          <w:sz w:val="28"/>
        </w:rPr>
      </w:pPr>
      <w:r>
        <w:rPr>
          <w:rFonts w:ascii="Times New Roman" w:hAnsi="Times New Roman"/>
          <w:color w:val="000000"/>
          <w:spacing w:val="0"/>
          <w:sz w:val="28"/>
        </w:rPr>
        <w:t>–</w:t>
      </w:r>
      <w:r>
        <w:rPr>
          <w:rFonts w:ascii="Times New Roman" w:hAnsi="Times New Roman"/>
          <w:color w:val="000000"/>
          <w:sz w:val="28"/>
        </w:rPr>
        <w:tab/>
      </w:r>
      <w:r>
        <w:rPr>
          <w:rFonts w:ascii="Times New Roman" w:hAnsi="Times New Roman"/>
          <w:color w:val="000000"/>
          <w:sz w:val="28"/>
        </w:rPr>
        <w:t>убийство;</w:t>
      </w:r>
    </w:p>
    <w:p w14:paraId="2E000000">
      <w:pPr>
        <w:spacing w:after="0" w:line="240" w:lineRule="auto"/>
        <w:ind w:firstLine="709" w:left="0"/>
        <w:jc w:val="both"/>
        <w:rPr>
          <w:rFonts w:ascii="Times New Roman" w:hAnsi="Times New Roman"/>
          <w:color w:val="000000"/>
          <w:sz w:val="28"/>
        </w:rPr>
      </w:pPr>
      <w:r>
        <w:rPr>
          <w:rFonts w:ascii="Times New Roman" w:hAnsi="Times New Roman"/>
          <w:color w:val="000000"/>
          <w:spacing w:val="0"/>
          <w:sz w:val="28"/>
        </w:rPr>
        <w:t>–</w:t>
      </w:r>
      <w:r>
        <w:rPr>
          <w:rFonts w:ascii="Times New Roman" w:hAnsi="Times New Roman"/>
          <w:color w:val="000000"/>
          <w:spacing w:val="0"/>
          <w:sz w:val="28"/>
        </w:rPr>
        <w:tab/>
      </w:r>
      <w:r>
        <w:rPr>
          <w:rFonts w:ascii="Times New Roman" w:hAnsi="Times New Roman"/>
          <w:color w:val="000000"/>
          <w:sz w:val="28"/>
        </w:rPr>
        <w:t>изнасилование, совершенное группой лиц, группой лиц по предварительному сговору или организованной группой, а также с особой жестокостью по отношению к потерпевшей или к другим лицам, соединенное с угрозой убийством или причинением тяжкого вреда здоровью, повлекшее заражение потерпевшей венерическим заболеванием;</w:t>
      </w:r>
    </w:p>
    <w:p w14:paraId="2F000000">
      <w:pPr>
        <w:spacing w:after="0" w:line="240" w:lineRule="auto"/>
        <w:ind w:firstLine="709" w:left="0"/>
        <w:jc w:val="both"/>
        <w:rPr>
          <w:rFonts w:ascii="Times New Roman" w:hAnsi="Times New Roman"/>
          <w:color w:val="000000"/>
          <w:sz w:val="28"/>
        </w:rPr>
      </w:pPr>
      <w:r>
        <w:rPr>
          <w:rFonts w:ascii="Times New Roman" w:hAnsi="Times New Roman"/>
          <w:color w:val="000000"/>
          <w:spacing w:val="0"/>
          <w:sz w:val="28"/>
        </w:rPr>
        <w:t>–</w:t>
      </w:r>
      <w:r>
        <w:rPr>
          <w:rFonts w:ascii="Times New Roman" w:hAnsi="Times New Roman"/>
          <w:color w:val="000000"/>
          <w:sz w:val="28"/>
        </w:rPr>
        <w:t xml:space="preserve"> </w:t>
      </w:r>
      <w:r>
        <w:rPr>
          <w:rFonts w:ascii="Times New Roman" w:hAnsi="Times New Roman"/>
          <w:color w:val="000000"/>
          <w:sz w:val="28"/>
        </w:rPr>
        <w:tab/>
      </w:r>
      <w:r>
        <w:rPr>
          <w:rFonts w:ascii="Times New Roman" w:hAnsi="Times New Roman"/>
          <w:color w:val="000000"/>
          <w:sz w:val="28"/>
        </w:rPr>
        <w:t>насильственные действия сексуального характера;</w:t>
      </w:r>
    </w:p>
    <w:p w14:paraId="30000000">
      <w:pPr>
        <w:spacing w:after="0" w:line="240" w:lineRule="auto"/>
        <w:ind w:firstLine="709" w:left="0"/>
        <w:jc w:val="both"/>
        <w:rPr>
          <w:rFonts w:ascii="Times New Roman" w:hAnsi="Times New Roman"/>
          <w:color w:val="000000"/>
          <w:sz w:val="28"/>
        </w:rPr>
      </w:pPr>
      <w:r>
        <w:rPr>
          <w:rFonts w:ascii="Times New Roman" w:hAnsi="Times New Roman"/>
          <w:color w:val="000000"/>
          <w:spacing w:val="0"/>
          <w:sz w:val="28"/>
        </w:rPr>
        <w:t>–</w:t>
      </w:r>
      <w:r>
        <w:rPr>
          <w:rFonts w:ascii="Times New Roman" w:hAnsi="Times New Roman"/>
          <w:color w:val="000000"/>
          <w:sz w:val="28"/>
        </w:rPr>
        <w:t xml:space="preserve"> понуждение к действиям сексуального характера несовершеннолетнего, а также совершенное группой лиц по предварительному сговору или организованной группой, с использованием средств массовой информации либо информационно-телекоммуникационных сетей и лицом, имеющим судимость за ранее совершенное преступление против половой неприкосновенности несовершеннолетнего;</w:t>
      </w:r>
    </w:p>
    <w:p w14:paraId="31000000">
      <w:pPr>
        <w:spacing w:after="0" w:line="240" w:lineRule="auto"/>
        <w:ind w:firstLine="709" w:left="0"/>
        <w:jc w:val="both"/>
        <w:rPr>
          <w:rFonts w:ascii="Times New Roman" w:hAnsi="Times New Roman"/>
          <w:color w:val="000000"/>
          <w:sz w:val="28"/>
        </w:rPr>
      </w:pPr>
      <w:r>
        <w:rPr>
          <w:rFonts w:ascii="Times New Roman" w:hAnsi="Times New Roman"/>
          <w:color w:val="000000"/>
          <w:spacing w:val="0"/>
          <w:sz w:val="28"/>
        </w:rPr>
        <w:t>–</w:t>
      </w:r>
      <w:r>
        <w:rPr>
          <w:rFonts w:ascii="Times New Roman" w:hAnsi="Times New Roman"/>
          <w:color w:val="000000"/>
          <w:spacing w:val="0"/>
          <w:sz w:val="28"/>
        </w:rPr>
        <w:tab/>
      </w:r>
      <w:r>
        <w:rPr>
          <w:rFonts w:ascii="Times New Roman" w:hAnsi="Times New Roman"/>
          <w:color w:val="000000"/>
          <w:sz w:val="28"/>
        </w:rPr>
        <w:t>половое сношение, мужеложство, лесбиянство, развратные действия с лицом, достигшим двенадцатилетнего возраста, но не достигшим четырнадцатилетнего возраста, или в отношении двух или более лиц;</w:t>
      </w:r>
    </w:p>
    <w:p w14:paraId="32000000">
      <w:pPr>
        <w:spacing w:after="0" w:line="240" w:lineRule="auto"/>
        <w:ind w:firstLine="709" w:left="0"/>
        <w:jc w:val="both"/>
        <w:rPr>
          <w:rFonts w:ascii="Times New Roman" w:hAnsi="Times New Roman"/>
          <w:color w:val="000000"/>
          <w:sz w:val="28"/>
        </w:rPr>
      </w:pPr>
      <w:r>
        <w:rPr>
          <w:rFonts w:ascii="Times New Roman" w:hAnsi="Times New Roman"/>
          <w:color w:val="000000"/>
          <w:spacing w:val="0"/>
          <w:sz w:val="28"/>
        </w:rPr>
        <w:t>–</w:t>
      </w:r>
      <w:r>
        <w:rPr>
          <w:rFonts w:ascii="Times New Roman" w:hAnsi="Times New Roman"/>
          <w:color w:val="000000"/>
          <w:spacing w:val="0"/>
          <w:sz w:val="28"/>
        </w:rPr>
        <w:tab/>
      </w:r>
      <w:r>
        <w:rPr>
          <w:rFonts w:ascii="Times New Roman" w:hAnsi="Times New Roman"/>
          <w:color w:val="000000"/>
          <w:sz w:val="28"/>
        </w:rPr>
        <w:t>вовлечение в занятие проституцией, совершенное организованной группой или в отношении несовершеннолетнего, организация занятия проституцией с использованием несовершеннолетних, в том числе, не достигших четырнадцатилетнего возраста, а также лицом с использованием своего служебного положения или с применением насилия, изготовление и оборот материалов или предметов с порнографическими изображениями несовершеннолетних и использование несовершеннолетнего в целях изготовления порнографических материалов или предметов.</w:t>
      </w:r>
    </w:p>
    <w:p w14:paraId="33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К основаниям прекращения российского гражданства отнесены публичные призывы к осуществлению террористической деятельности, оправдание терроризма и его пропаганда, неправомерное воздействие на критическую информационную инфраструктуру Российской Федерации, совершенное лицом с использованием своего служебного положения, группой лиц либо если такие действия повлекли тяжкие последствия, а также сотрудничество на конфиденциальной основе с иностранным государством, международной или иностранной организацией, оказание помощи противнику в деятельности, заведомо направленной против безопасности Российской Федерации, публичные призывы к осуществлению деятельности, направленной против безопасности государства,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и организация незаконной миграции.</w:t>
      </w:r>
    </w:p>
    <w:p w14:paraId="34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Неоднократные пропаганда либо публичное демонстрирование нацистской атрибутики или символики, атрибутики или символики экстремистских организаций также являются основаниями прекращения российского гражданства.</w:t>
      </w:r>
    </w:p>
    <w:p w14:paraId="35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Кроме того, гражданство Российской Федерации подлежит прекращению в случае совершения иных предусмотренных уголовным законом преступлений, при наличии одного из следующих отягчающих обстоятельств: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совершение преступления в целях пропаганды, оправдания и поддержки терроризма; совершение преступления в целях пропаганды, оправдания и поддержки диверсии.</w:t>
      </w:r>
    </w:p>
    <w:p w14:paraId="36000000">
      <w:pPr>
        <w:spacing w:after="0" w:line="240" w:lineRule="auto"/>
        <w:ind w:firstLine="709" w:left="0"/>
        <w:jc w:val="both"/>
        <w:rPr>
          <w:rFonts w:ascii="Times New Roman" w:hAnsi="Times New Roman"/>
          <w:color w:val="000000"/>
          <w:sz w:val="28"/>
        </w:rPr>
      </w:pPr>
    </w:p>
    <w:p w14:paraId="37000000">
      <w:pPr>
        <w:spacing w:after="0" w:line="240" w:lineRule="auto"/>
        <w:ind w:firstLine="709" w:left="0"/>
        <w:jc w:val="both"/>
        <w:rPr>
          <w:rFonts w:ascii="Times New Roman" w:hAnsi="Times New Roman"/>
          <w:color w:val="000000"/>
          <w:sz w:val="28"/>
        </w:rPr>
      </w:pPr>
    </w:p>
    <w:p w14:paraId="38000000">
      <w:pPr>
        <w:spacing w:after="0" w:line="240" w:lineRule="auto"/>
        <w:ind w:firstLine="709" w:left="0"/>
        <w:jc w:val="both"/>
        <w:rPr>
          <w:rFonts w:ascii="Times New Roman" w:hAnsi="Times New Roman"/>
          <w:b w:val="1"/>
          <w:color w:val="000000"/>
          <w:sz w:val="28"/>
        </w:rPr>
      </w:pPr>
      <w:r>
        <w:rPr>
          <w:rFonts w:ascii="Times New Roman" w:hAnsi="Times New Roman"/>
          <w:b w:val="1"/>
          <w:color w:val="000000"/>
          <w:sz w:val="28"/>
        </w:rPr>
        <w:t>За незаконную государственную регистрацию физического лица в качестве предпринимателя либо использование документов для государственной регистрации физического лица в качестве предпринимателя предусмотрена уголовная ответственность</w:t>
      </w:r>
    </w:p>
    <w:p w14:paraId="39000000">
      <w:pPr>
        <w:spacing w:after="0" w:line="240" w:lineRule="auto"/>
        <w:ind w:firstLine="709" w:left="0"/>
        <w:jc w:val="both"/>
        <w:rPr>
          <w:rFonts w:ascii="Times New Roman" w:hAnsi="Times New Roman"/>
          <w:color w:val="000000"/>
          <w:sz w:val="28"/>
        </w:rPr>
      </w:pPr>
    </w:p>
    <w:p w14:paraId="3A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Федеральным законом от 24.06.2025 № 172-ФЗ «О внесении изменений в статьи 173.1 и 173.2 Уголовного кодекса Российской Федерации» внесены изменения в статьи 173.1 и 173.2 Уголовного кодекса Российской Федерации (далее – УК РФ).</w:t>
      </w:r>
    </w:p>
    <w:p w14:paraId="3B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Так, за образование (создание, реорганизация) юридического лица или государственную регистрацию физического лица в качестве индивидуального предпринимателя через подставных лиц либо представление в орган, осуществляющий государственную регистрацию юридических лиц и индивидуальных предпринимателей, данных, повлекшее внесение в единый государственный реестр юридических лиц либо единый государственный реестр индивидуальных предпринимателей сведений о подставных лицах, предусмотрена уголовная ответственность по ст. 173.1 УК РФ.</w:t>
      </w:r>
    </w:p>
    <w:p w14:paraId="3C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За данное противоправное деяние может быть назначено наказание в виде штрафа в размере от 100 тыс. до 300 тыс. рублей или в размере заработной платы или иного дохода осужденного за период от семи месяцев до одного года, либо принудительными работами на срок до трех лет, либо лишением свободы на тот же срок.</w:t>
      </w:r>
    </w:p>
    <w:p w14:paraId="3D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Если те же деяния, совершены лицом с использованием своего служебного положения либо группой лиц по предварительному сговору, то может быть назначено наказание в виде штрафа в размере от 300 тыс. до 500 тыс.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лишением свободы на срок до 5 лет.</w:t>
      </w:r>
    </w:p>
    <w:p w14:paraId="3E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Примечанием к статье 173.1 УК РФ определено, что под подставными лицами в статьях 173.1, 173.2 и 173.3 УК РФ, понимаются лица, которые являются учредителями (участниками) юридического лица или органами управления юридического лица, индивидуальными предпринимателями и путем введения в заблуждение либо без ведома которых были внесены данные о них в единый государственный реестр юридических лиц либо единый государственный реестр индивидуальных предпринимателей, лица, которые являются органами управления юридического лица, у которых отсутствует цель управления юридическим лицом, а также лица, которые являются индивидуальными предпринимателями, у которых отсутствует цель ведения предпринимательской деятельности.</w:t>
      </w:r>
    </w:p>
    <w:p w14:paraId="3F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Лицо, впервые совершившее преступление, предусмотренное ст. 173.1 или ст.173.2 УК РФ, являясь подставным лицом, освобождается от уголовной ответственности за его совершение, если оно активно способствовало раскрытию и (или) расследованию этого преступления.</w:t>
      </w:r>
    </w:p>
    <w:p w14:paraId="40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За незаконное использование документов для образования (создания, реорганизации) юридического лица, государственной регистрации физического лица в качестве индивидуального предпринимателя предусмотрена уголовная ответственность по статье 173.2 УК РФ.</w:t>
      </w:r>
    </w:p>
    <w:p w14:paraId="41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Так, предоставление документа, удостоверяющего личность, или выдача доверенности, если эти действия совершены для внесения в единый государственный реестр юридических лиц либо единый государственный реестр индивидуальных предпринимателей сведений о подставном лице, наказываются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14:paraId="42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Приобретение документа, удостоверяющего личность, или использование персональных данных, полученных незаконным путем, если эти деяния совершены для внесения в единый государственный реестр юридических лиц либо единый государственный реестр индивидуальных предпринимателей сведений о подставном лице, наказываются штрафом в размере от трехсот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14:paraId="43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При этом, под приобретением документа, удостоверяющего личность, в ст. 173.2 УК РФ,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путем обмана или злоупотребления доверием.</w:t>
      </w:r>
    </w:p>
    <w:p w14:paraId="44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Изменения начали действовать с 5 июля 2025 года.</w:t>
      </w:r>
    </w:p>
    <w:p w14:paraId="45000000">
      <w:pPr>
        <w:spacing w:after="0" w:line="240" w:lineRule="auto"/>
        <w:ind w:firstLine="709" w:left="0"/>
        <w:jc w:val="both"/>
        <w:rPr>
          <w:rFonts w:ascii="Times New Roman" w:hAnsi="Times New Roman"/>
          <w:color w:val="000000"/>
          <w:sz w:val="28"/>
        </w:rPr>
      </w:pPr>
    </w:p>
    <w:p w14:paraId="46000000">
      <w:pPr>
        <w:spacing w:after="0" w:line="240" w:lineRule="auto"/>
        <w:ind w:firstLine="709" w:left="0"/>
        <w:jc w:val="both"/>
        <w:rPr>
          <w:rFonts w:ascii="Times New Roman" w:hAnsi="Times New Roman"/>
          <w:color w:val="000000"/>
          <w:sz w:val="28"/>
        </w:rPr>
      </w:pPr>
    </w:p>
    <w:p w14:paraId="47000000">
      <w:pPr>
        <w:spacing w:after="0" w:line="240" w:lineRule="auto"/>
        <w:ind w:firstLine="709" w:left="0"/>
        <w:jc w:val="both"/>
        <w:rPr>
          <w:rFonts w:ascii="Times New Roman" w:hAnsi="Times New Roman"/>
          <w:b w:val="1"/>
          <w:color w:val="000000"/>
          <w:sz w:val="28"/>
        </w:rPr>
      </w:pPr>
      <w:r>
        <w:rPr>
          <w:rFonts w:ascii="Times New Roman" w:hAnsi="Times New Roman"/>
          <w:b w:val="1"/>
          <w:color w:val="000000"/>
          <w:sz w:val="28"/>
        </w:rPr>
        <w:t>Новые правила отпуска лекарственных препаратов</w:t>
      </w:r>
    </w:p>
    <w:p w14:paraId="48000000">
      <w:pPr>
        <w:spacing w:after="0" w:line="240" w:lineRule="auto"/>
        <w:ind w:firstLine="709" w:left="0"/>
        <w:jc w:val="both"/>
        <w:rPr>
          <w:rFonts w:ascii="Times New Roman" w:hAnsi="Times New Roman"/>
          <w:color w:val="000000"/>
          <w:sz w:val="28"/>
        </w:rPr>
      </w:pPr>
    </w:p>
    <w:p w14:paraId="49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С 01.09.2025 вступает в силу Приказ Министерства здравоохранения Российской Федерации № 100н от 07.03.2025, регламентирующий отпуск лекарственных препаратов. Данный нормативный акт устанавливает новые правила для аптечных организаций, индивидуальных предпринимателей и медицинских организаций, имеющих лицензию на осуществление фармацевтической деятельности, включая их обособленные подразделения. Срок действия Приказа – до 01.09.2031.</w:t>
      </w:r>
    </w:p>
    <w:p w14:paraId="4A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Обращаем внимание на следующие ключевые положения:</w:t>
      </w:r>
    </w:p>
    <w:p w14:paraId="4B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Срок отпуска лекарств при отсутствии: если лекарственный препарат, указанный в рецепте, отсутствует в аптеке, он должен быть предоставлен пациенту в срок, не превышающий 10 рабочих дней с даты обращения.</w:t>
      </w:r>
    </w:p>
    <w:p w14:paraId="4C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Отпуск лекарств с пометкой «cito»: в случае наличия на рецепте пометки «cito» (срочно), лекарство должно быть отпущено в срок, не превышающий 3 рабочих дней с момента обращения.</w:t>
      </w:r>
    </w:p>
    <w:p w14:paraId="4D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Срок отпуска при необходимости заказа: если лекарственный препарат требует закупки, срок его предоставления пациенту не должен превышать 30 рабочих дней с даты обращения.</w:t>
      </w:r>
    </w:p>
    <w:p w14:paraId="4E00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Запрет отпуска препаратов для стационарного применения: аптекам запрещается отпускать гражданам лекарственные препараты, предназначенные исключительно для использования в условиях стационара или дневного стационара медицинских организаций, согласно инструкциям по их применению.</w:t>
      </w:r>
    </w:p>
    <w:p w14:paraId="4F000000">
      <w:pPr>
        <w:pStyle w:val="Style_3"/>
        <w:spacing w:before="240"/>
        <w:ind/>
        <w:rPr>
          <w:color w:val="D9D9D9"/>
          <w:sz w:val="20"/>
        </w:rPr>
      </w:pPr>
    </w:p>
    <w:p w14:paraId="50000000">
      <w:pPr>
        <w:pStyle w:val="Style_3"/>
        <w:spacing w:before="240"/>
        <w:ind/>
        <w:rPr>
          <w:color w:val="D9D9D9"/>
          <w:sz w:val="20"/>
        </w:rPr>
      </w:pPr>
    </w:p>
    <w:p w14:paraId="51000000">
      <w:pPr>
        <w:pStyle w:val="Style_3"/>
        <w:spacing w:before="240"/>
        <w:ind/>
        <w:rPr>
          <w:color w:val="D9D9D9"/>
          <w:sz w:val="20"/>
        </w:rPr>
      </w:pPr>
    </w:p>
    <w:p w14:paraId="52000000">
      <w:pPr>
        <w:pStyle w:val="Style_3"/>
        <w:spacing w:before="240"/>
        <w:ind/>
        <w:rPr>
          <w:color w:val="D9D9D9"/>
          <w:sz w:val="20"/>
        </w:rPr>
      </w:pPr>
    </w:p>
    <w:p w14:paraId="53000000">
      <w:pPr>
        <w:pStyle w:val="Style_3"/>
        <w:spacing w:before="240"/>
        <w:ind/>
        <w:rPr>
          <w:color w:val="D9D9D9"/>
          <w:sz w:val="20"/>
        </w:rPr>
      </w:pPr>
    </w:p>
    <w:p w14:paraId="54000000">
      <w:pPr>
        <w:pStyle w:val="Style_3"/>
        <w:spacing w:before="240"/>
        <w:ind/>
        <w:rPr>
          <w:color w:val="D9D9D9"/>
          <w:sz w:val="20"/>
        </w:rPr>
      </w:pPr>
    </w:p>
    <w:p w14:paraId="55000000">
      <w:pPr>
        <w:pStyle w:val="Style_3"/>
        <w:spacing w:before="240"/>
        <w:ind/>
        <w:rPr>
          <w:color w:val="D9D9D9"/>
          <w:sz w:val="20"/>
        </w:rPr>
      </w:pPr>
    </w:p>
    <w:p w14:paraId="56000000">
      <w:pPr>
        <w:pStyle w:val="Style_3"/>
        <w:spacing w:before="240"/>
        <w:ind/>
        <w:rPr>
          <w:color w:val="D9D9D9"/>
          <w:sz w:val="20"/>
        </w:rPr>
      </w:pPr>
    </w:p>
    <w:p w14:paraId="57000000">
      <w:pPr>
        <w:pStyle w:val="Style_3"/>
        <w:spacing w:before="240"/>
        <w:ind/>
        <w:rPr>
          <w:color w:val="D9D9D9"/>
          <w:sz w:val="20"/>
        </w:rPr>
      </w:pPr>
    </w:p>
    <w:p w14:paraId="58000000">
      <w:pPr>
        <w:pStyle w:val="Style_3"/>
        <w:spacing w:before="240"/>
        <w:ind/>
        <w:rPr>
          <w:color w:val="D9D9D9"/>
          <w:sz w:val="20"/>
        </w:rPr>
      </w:pPr>
    </w:p>
    <w:p w14:paraId="59000000">
      <w:pPr>
        <w:pStyle w:val="Style_3"/>
        <w:spacing w:before="240"/>
        <w:ind/>
        <w:rPr>
          <w:color w:val="D9D9D9"/>
          <w:sz w:val="20"/>
        </w:rPr>
      </w:pPr>
    </w:p>
    <w:p w14:paraId="5A000000">
      <w:pPr>
        <w:pStyle w:val="Style_3"/>
        <w:spacing w:before="240"/>
        <w:ind/>
        <w:rPr>
          <w:color w:val="D9D9D9"/>
          <w:sz w:val="20"/>
        </w:rPr>
      </w:pPr>
    </w:p>
    <w:p w14:paraId="5B000000">
      <w:pPr>
        <w:pStyle w:val="Style_3"/>
        <w:spacing w:before="240"/>
        <w:ind/>
        <w:rPr>
          <w:color w:val="D9D9D9"/>
          <w:sz w:val="20"/>
        </w:rPr>
      </w:pPr>
    </w:p>
    <w:sectPr>
      <w:headerReference r:id="rId1" w:type="default"/>
      <w:footerReference r:id="rId2" w:type="first"/>
      <w:type w:val="nextPage"/>
      <w:pgSz w:h="16838" w:orient="portrait" w:w="11906"/>
      <w:pgMar w:bottom="680" w:footer="454" w:left="1418" w:right="567" w:top="680"/>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jc w:val="right"/>
      <w:tblInd w:type="dxa" w:w="0"/>
      <w:tblLayout w:type="fixed"/>
    </w:tblPr>
    <w:tblGrid>
      <w:gridCol w:w="3643"/>
    </w:tblGrid>
    <w:tr>
      <w:trPr>
        <w:trHeight w:hRule="atLeast" w:val="57"/>
      </w:trPr>
      <w:tc>
        <w:tcPr>
          <w:tcW w:type="dxa" w:w="3643"/>
          <w:tcBorders>
            <w:top w:color="000000" w:sz="6" w:val="single"/>
            <w:left w:color="000000" w:sz="6" w:val="single"/>
            <w:bottom w:color="000000" w:sz="6" w:val="single"/>
            <w:right w:color="000000" w:sz="6" w:val="single"/>
          </w:tcBorders>
          <w:tcMar>
            <w:top w:type="dxa" w:w="28"/>
            <w:left w:type="dxa" w:w="28"/>
            <w:bottom w:type="dxa" w:w="28"/>
            <w:right w:type="dxa" w:w="28"/>
          </w:tcMar>
        </w:tcPr>
        <w:sdt>
          <w:sdtPr>
            <w:lock w:val="sdtContentLocked"/>
          </w:sdtPr>
          <w:sdtContent>
            <w:p w14:paraId="03000000">
              <w:pPr>
                <w:pStyle w:val="Style_3"/>
                <w:spacing w:after="60"/>
                <w:ind/>
                <w:jc w:val="center"/>
                <w:rPr>
                  <w:sz w:val="16"/>
                </w:rPr>
              </w:pPr>
              <w:bookmarkStart w:id="1" w:name="SIGNERORG1"/>
              <w:bookmarkStart w:id="2" w:name="_Hlk129696017"/>
              <w:r>
                <w:rPr>
                  <w:sz w:val="16"/>
                </w:rPr>
                <w:t>организация</w:t>
              </w:r>
              <w:bookmarkEnd w:id="1"/>
            </w:p>
            <w:p w14:paraId="04000000">
              <w:pPr>
                <w:pStyle w:val="Style_3"/>
                <w:spacing w:after="60"/>
                <w:ind/>
                <w:jc w:val="center"/>
              </w:pPr>
              <w:r>
                <w:rPr>
                  <w:rStyle w:val="Style_2_ch"/>
                  <w:sz w:val="16"/>
                </w:rPr>
                <w:t xml:space="preserve">№ </w:t>
              </w:r>
              <w:bookmarkStart w:id="3" w:name="REGNUMSTAMP"/>
              <w:r>
                <w:rPr>
                  <w:rStyle w:val="Style_2_ch"/>
                  <w:color w:val="BFBFBF"/>
                  <w:sz w:val="16"/>
                </w:rPr>
                <w:t>рег.номер</w:t>
              </w:r>
              <w:bookmarkEnd w:id="3"/>
            </w:p>
          </w:sdtContent>
        </w:sdt>
      </w:tc>
    </w:tr>
  </w:tbl>
  <w:p w14:paraId="05000000">
    <w:pPr>
      <w:pStyle w:val="Style_4"/>
      <w:ind/>
      <w:jc w:val="right"/>
    </w:pPr>
    <w:bookmarkEnd w:id="2"/>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b w:val="0"/>
        <w:i w:val="0"/>
        <w:caps w:val="0"/>
        <w:smallCaps w:val="0"/>
        <w:strike w:val="0"/>
        <w:emboss w:val="0"/>
        <w:imprint w:val="0"/>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Нижний колонтитул Знак"/>
    <w:basedOn w:val="Style_2"/>
    <w:next w:val="Style_2"/>
    <w:link w:val="Style_6_ch"/>
  </w:style>
  <w:style w:styleId="Style_6_ch" w:type="character">
    <w:name w:val="Нижний колонтитул Знак"/>
    <w:basedOn w:val="Style_2_ch"/>
    <w:link w:val="Style_6"/>
  </w:style>
  <w:style w:styleId="Style_7" w:type="paragraph">
    <w:name w:val="toc 2"/>
    <w:next w:val="Style_5"/>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5"/>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Текст выноски"/>
    <w:basedOn w:val="Style_3"/>
    <w:link w:val="Style_9_ch"/>
    <w:rPr>
      <w:rFonts w:ascii="Tahoma" w:hAnsi="Tahoma"/>
      <w:sz w:val="16"/>
    </w:rPr>
  </w:style>
  <w:style w:styleId="Style_9_ch" w:type="character">
    <w:name w:val="Текст выноски"/>
    <w:basedOn w:val="Style_3_ch"/>
    <w:link w:val="Style_9"/>
    <w:rPr>
      <w:rFonts w:ascii="Tahoma" w:hAnsi="Tahoma"/>
      <w:sz w:val="16"/>
    </w:rPr>
  </w:style>
  <w:style w:styleId="Style_10" w:type="paragraph">
    <w:name w:val="toc 6"/>
    <w:next w:val="Style_5"/>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11" w:type="paragraph">
    <w:name w:val="toc 7"/>
    <w:next w:val="Style_5"/>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5"/>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toc 3"/>
    <w:next w:val="Style_5"/>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3" w:type="paragraph">
    <w:name w:val="Обычный"/>
    <w:link w:val="Style_3_ch"/>
    <w:pPr>
      <w:spacing w:after="0" w:line="240" w:lineRule="auto"/>
      <w:ind/>
    </w:pPr>
    <w:rPr>
      <w:rFonts w:ascii="Times New Roman" w:hAnsi="Times New Roman"/>
      <w:sz w:val="28"/>
    </w:rPr>
  </w:style>
  <w:style w:styleId="Style_3_ch" w:type="character">
    <w:name w:val="Обычный"/>
    <w:link w:val="Style_3"/>
    <w:rPr>
      <w:rFonts w:ascii="Times New Roman" w:hAnsi="Times New Roman"/>
      <w:sz w:val="28"/>
    </w:rPr>
  </w:style>
  <w:style w:styleId="Style_15" w:type="paragraph">
    <w:name w:val="Текст выноски Знак"/>
    <w:basedOn w:val="Style_2"/>
    <w:next w:val="Style_2"/>
    <w:link w:val="Style_15_ch"/>
    <w:rPr>
      <w:rFonts w:ascii="Tahoma" w:hAnsi="Tahoma"/>
      <w:sz w:val="16"/>
    </w:rPr>
  </w:style>
  <w:style w:styleId="Style_15_ch" w:type="character">
    <w:name w:val="Текст выноски Знак"/>
    <w:basedOn w:val="Style_2_ch"/>
    <w:link w:val="Style_15"/>
    <w:rPr>
      <w:rFonts w:ascii="Tahoma" w:hAnsi="Tahoma"/>
      <w:sz w:val="16"/>
    </w:rPr>
  </w:style>
  <w:style w:styleId="Style_16" w:type="paragraph">
    <w:name w:val="heading 5"/>
    <w:next w:val="Style_5"/>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next w:val="Style_5"/>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5"/>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Верхний колонтитул Знак"/>
    <w:basedOn w:val="Style_2"/>
    <w:next w:val="Style_2"/>
    <w:link w:val="Style_21_ch"/>
  </w:style>
  <w:style w:styleId="Style_21_ch" w:type="character">
    <w:name w:val="Верхний колонтитул Знак"/>
    <w:basedOn w:val="Style_2_ch"/>
    <w:link w:val="Style_21"/>
  </w:style>
  <w:style w:styleId="Style_22" w:type="paragraph">
    <w:name w:val="Header and Footer"/>
    <w:link w:val="Style_22_ch"/>
    <w:pPr>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4" w:type="paragraph">
    <w:name w:val="Нижний колонтитул"/>
    <w:basedOn w:val="Style_3"/>
    <w:link w:val="Style_4_ch"/>
    <w:pPr>
      <w:tabs>
        <w:tab w:leader="none" w:pos="4677" w:val="center"/>
        <w:tab w:leader="none" w:pos="9355" w:val="right"/>
      </w:tabs>
      <w:ind/>
    </w:pPr>
  </w:style>
  <w:style w:styleId="Style_4_ch" w:type="character">
    <w:name w:val="Нижний колонтитул"/>
    <w:basedOn w:val="Style_3_ch"/>
    <w:link w:val="Style_4"/>
  </w:style>
  <w:style w:styleId="Style_23" w:type="paragraph">
    <w:name w:val="toc 9"/>
    <w:next w:val="Style_5"/>
    <w:link w:val="Style_23_ch"/>
    <w:uiPriority w:val="39"/>
    <w:pPr>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5"/>
    <w:link w:val="Style_24_ch"/>
    <w:uiPriority w:val="39"/>
    <w:pPr>
      <w:ind w:firstLine="0" w:left="1400"/>
      <w:jc w:val="left"/>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5"/>
    <w:link w:val="Style_25_ch"/>
    <w:uiPriority w:val="39"/>
    <w:pPr>
      <w:ind w:firstLine="0" w:left="800"/>
      <w:jc w:val="left"/>
    </w:pPr>
    <w:rPr>
      <w:rFonts w:ascii="XO Thames" w:hAnsi="XO Thames"/>
      <w:sz w:val="28"/>
    </w:rPr>
  </w:style>
  <w:style w:styleId="Style_25_ch" w:type="character">
    <w:name w:val="toc 5"/>
    <w:link w:val="Style_25"/>
    <w:rPr>
      <w:rFonts w:ascii="XO Thames" w:hAnsi="XO Thames"/>
      <w:sz w:val="28"/>
    </w:rPr>
  </w:style>
  <w:style w:styleId="Style_1" w:type="paragraph">
    <w:name w:val="Верхний колонтитул"/>
    <w:basedOn w:val="Style_3"/>
    <w:link w:val="Style_1_ch"/>
    <w:pPr>
      <w:tabs>
        <w:tab w:leader="none" w:pos="4677" w:val="center"/>
        <w:tab w:leader="none" w:pos="9355" w:val="right"/>
      </w:tabs>
      <w:ind/>
    </w:pPr>
  </w:style>
  <w:style w:styleId="Style_1_ch" w:type="character">
    <w:name w:val="Верхний колонтитул"/>
    <w:basedOn w:val="Style_3_ch"/>
    <w:link w:val="Style_1"/>
  </w:style>
  <w:style w:styleId="Style_26" w:type="paragraph">
    <w:name w:val="Subtitle"/>
    <w:next w:val="Style_5"/>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 w:type="paragraph">
    <w:name w:val="Основной шрифт абзаца"/>
    <w:link w:val="Style_2_ch"/>
  </w:style>
  <w:style w:styleId="Style_2_ch" w:type="character">
    <w:name w:val="Основной шрифт абзаца"/>
    <w:link w:val="Style_2"/>
  </w:style>
  <w:style w:styleId="Style_27" w:type="paragraph">
    <w:name w:val="Title"/>
    <w:next w:val="Style_5"/>
    <w:link w:val="Style_27_ch"/>
    <w:uiPriority w:val="10"/>
    <w:qFormat/>
    <w:pPr>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5"/>
    <w:link w:val="Style_28_ch"/>
    <w:uiPriority w:val="9"/>
    <w:qFormat/>
    <w:pPr>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heading 2"/>
    <w:next w:val="Style_5"/>
    <w:link w:val="Style_29_ch"/>
    <w:uiPriority w:val="9"/>
    <w:qFormat/>
    <w:pPr>
      <w:spacing w:after="120" w:before="120"/>
      <w:ind/>
      <w:jc w:val="both"/>
      <w:outlineLvl w:val="1"/>
    </w:pPr>
    <w:rPr>
      <w:rFonts w:ascii="XO Thames" w:hAnsi="XO Thames"/>
      <w:b w:val="1"/>
      <w:sz w:val="28"/>
    </w:rPr>
  </w:style>
  <w:style w:styleId="Style_29_ch" w:type="character">
    <w:name w:val="heading 2"/>
    <w:link w:val="Style_29"/>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2" Target="footer2.xml" Type="http://schemas.openxmlformats.org/officeDocument/2006/relationships/footer"/>
  <Relationship Id="rId3" Target="media/1.pn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2025-11-14T04:15:32Z</dcterms:modified>
</cp:coreProperties>
</file>